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Antecontract de</w:t>
              <w:br/>
              <w:t>vânzare-cumpărare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40" w:after="6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Actele de proprietate (după caz: titlu de proprietate, contract de vânzare, certificat de moștenitor, contract de donație, sentință/decizie civilă definitivă și irevocabilă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Dovada achitării integrale a prețului din actul de dobândire;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Documentația cadastrală a bunului imobil (planul de amplasament și delimitare, încheierea de intabulare în cartea funciară emisă de Judecătoria/ANCPI competentă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Extrasul de carte funciară pentru informare (de la ANCPI);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Acordul instituției creditoare, în cazul în care imobilul este ipotecat;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40" w:after="6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eo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INFORMAȚIILE TRANZACȚIEI ȘI ACTELE PĂRȚILOR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Prețul vânzării, valoarea avansului, data transmiterii proprietății și data la care se va încheia contractul de vânzare în formă autentică;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Conturile bancare ale promitentului-vânzător și ale beneficiarului-cumpărător din/în care se face plata prețului;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Certificate de căsătorie, sentință de divorț (atât pentru promitentul-vânzător, cât și pentru beneficiarul-cumpărător), dacă este cazul;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09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Acte de identitate ale părților (buletine sau cărți de identitate);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10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40" w:after="6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ompan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PERSOANĂ JURIDICĂ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11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Hotărârea Adunării Generale a Asociaților Societății sau Decizia Asociatului Unic al Societății privind decizia/hotărârea asociaților pentru încheierea actului a cărui autentificare se solicită;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8957"/>
      </w:tblGrid>
      <w:tr>
        <w:tc>
          <w:tcPr>
            <w:tcW w:type="dxa" w:w="56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12</w:t>
            </w:r>
          </w:p>
        </w:tc>
        <w:tc>
          <w:tcPr>
            <w:tcW w:type="dxa" w:w="8957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72" w:type="dxa"/>
              <w:start w:w="60" w:type="dxa"/>
              <w:bottom w:w="72" w:type="dxa"/>
              <w:end w:w="90" w:type="dxa"/>
            </w:tcMar>
            <w:vAlign w:val="center"/>
          </w:tcPr>
          <w:p>
            <w:pPr>
              <w:spacing w:after="0" w:line="247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8"/>
              </w:rPr>
              <w:t>Actele societății: Act Constitutiv, Certificat de înmatriculare și Certificat constatator de dată recentă (poate fi obținut de către Societatea Profesională Notarială) etc.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90" w:type="dxa"/>
              <w:start w:w="190" w:type="dxa"/>
              <w:bottom w:w="90" w:type="dxa"/>
              <w:end w:w="19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5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5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