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Declarație</w:t>
              <w:br/>
              <w:t>de radiere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ACTELE PROPRIETARILOR ȘI ALE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identitate ale proprietarilor;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Actul de proprietate al imobilului ipotecat (după caz: titlu de proprietate, contract de vânzare, certificat de moștenitor, contract de donație, sentință sau decizie civilă definitivă și irevocabilă etc.). 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Contractul de ipotecă;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Contractul de credit;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Extrasul de carte funciară pentru informare, emis de ANCPI;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pec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PENTRU ÎNCHIDEREA ȘI RADIEREA CREDITULUI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Adresa de închidere a creditului;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Acordul de radiere emis de Fondul Național de Garantare a Creditelor pentru Întreprinderile Mici și Mijlocii (FNGCIMM), dacă bunul a fost achitat prin programul Prima Casă sau Noua Casă;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Actul de identitate și procura reprezentantului băncii. Aceste documente sunt transmise Societății Profesionale Notariale de către reprezentantul băncii.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