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60"/>
      </w:pPr>
      <w:r>
        <w:drawing>
          <wp:inline xmlns:a="http://schemas.openxmlformats.org/drawingml/2006/main" xmlns:pic="http://schemas.openxmlformats.org/drawingml/2006/picture">
            <wp:extent cx="3816000" cy="52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aequitas_rosu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6000" cy="522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"/>
        <w:gridCol w:w="9411"/>
      </w:tblGrid>
      <w:tr>
        <w:tc>
          <w:tcPr>
            <w:tcW w:type="dxa" w:w="5128"/>
            <w:shd w:fill="D92B20"/>
            <w:tcBorders>
              <w:top w:val="single" w:sz="0" w:color="D92B20"/>
              <w:left w:val="single" w:sz="0" w:color="D92B20"/>
              <w:bottom w:val="single" w:sz="0" w:color="D92B20"/>
              <w:right w:val="single" w:sz="0" w:color="D92B20"/>
              <w:insideH w:val="single" w:sz="0" w:color="D92B20"/>
              <w:insideV w:val="single" w:sz="0" w:color="D92B20"/>
            </w:tcBorders>
          </w:tcPr>
          <w:p/>
        </w:tc>
        <w:tc>
          <w:tcPr>
            <w:tcW w:type="dxa" w:w="5128"/>
            <w:shd w:fill="F7F5F4"/>
            <w:tcBorders>
              <w:top w:val="single" w:sz="0" w:color="F7F5F4"/>
              <w:left w:val="single" w:sz="0" w:color="F7F5F4"/>
              <w:bottom w:val="single" w:sz="0" w:color="F7F5F4"/>
              <w:right w:val="single" w:sz="0" w:color="F7F5F4"/>
              <w:insideH w:val="single" w:sz="0" w:color="F7F5F4"/>
              <w:insideV w:val="single" w:sz="0" w:color="F7F5F4"/>
            </w:tcBorders>
            <w:tcMar>
              <w:top w:w="650" w:type="dxa"/>
              <w:start w:w="700" w:type="dxa"/>
              <w:bottom w:w="650" w:type="dxa"/>
              <w:end w:w="700" w:type="dxa"/>
            </w:tcMar>
          </w:tcPr>
          <w:p>
            <w:pPr>
              <w:spacing w:after="240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GHID PENTRU CLIENȚI</w:t>
            </w:r>
          </w:p>
          <w:p>
            <w:pPr>
              <w:spacing w:after="360"/>
            </w:pPr>
            <w:r>
              <w:rPr>
                <w:rFonts w:ascii="Georgia" w:hAnsi="Georgia"/>
                <w:b/>
                <w:i w:val="0"/>
                <w:color w:val="303030"/>
                <w:sz w:val="58"/>
              </w:rPr>
              <w:t>ACTE NECESARE</w:t>
            </w:r>
          </w:p>
          <w:p>
            <w:pPr>
              <w:spacing w:after="300"/>
            </w:pPr>
            <w:r>
              <w:rPr>
                <w:rFonts w:ascii="Georgia" w:hAnsi="Georgia"/>
                <w:b w:val="0"/>
                <w:i w:val="0"/>
                <w:color w:val="D92B20"/>
                <w:sz w:val="38"/>
              </w:rPr>
              <w:t>Act de alipire</w:t>
              <w:br/>
              <w:t>dezmembrare și</w:t>
              <w:br/>
              <w:t>apartamentare</w:t>
            </w:r>
          </w:p>
          <w:p>
            <w:pPr>
              <w:spacing w:before="240"/>
            </w:pPr>
            <w:r>
              <w:rPr>
                <w:rFonts w:ascii="Aptos" w:hAnsi="Aptos"/>
                <w:b w:val="0"/>
                <w:i/>
                <w:color w:val="6C6C6C"/>
                <w:sz w:val="22"/>
              </w:rPr>
              <w:t>O listă clară pentru pregătirea dosarului notarial</w:t>
            </w:r>
          </w:p>
        </w:tc>
      </w:tr>
    </w:tbl>
    <w:p>
      <w:pPr>
        <w:spacing w:before="760"/>
        <w:jc w:val="right"/>
      </w:pPr>
      <w:r>
        <w:rPr>
          <w:rFonts w:ascii="Aptos" w:hAnsi="Aptos"/>
          <w:b/>
          <w:i w:val="0"/>
          <w:color w:val="6C6C6C"/>
          <w:sz w:val="17"/>
        </w:rPr>
        <w:t>EXPERIENȚĂ. PROFESIONALISM. RESPECT.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i w:val="0"/>
          <w:color w:val="D92B20"/>
          <w:sz w:val="16"/>
        </w:rPr>
        <w:t>ACTE NECESARE</w:t>
      </w:r>
    </w:p>
    <w:p>
      <w:pPr>
        <w:spacing w:after="300"/>
      </w:pPr>
      <w:r>
        <w:rPr>
          <w:rFonts w:ascii="Georgia" w:hAnsi="Georgia"/>
          <w:b/>
          <w:i w:val="0"/>
          <w:color w:val="303030"/>
          <w:sz w:val="40"/>
        </w:rPr>
        <w:t>Pregătirea documentelor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hom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DOCUMENTELE IMOBILULUI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01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Actele de proprietate (după caz: titlu de proprietate, contract de vânzare, certificat de moștenitor, contract de donație, sentință/decizie civilă definitivă și irevocabilă etc.);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02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Referatul de admitere a alipirii sau dezmembrării;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03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Certificatul de urbanism pentru alipire sau dezmembrare, dacă dezmembrarea se realizează în trei sau mai multe loturi;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04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Certificatul de atestare a edificării sau extinderii construcției ori autorizația de construire în care este menționat numărul unităților individuale din condominiu, pentru apartamentare sau subapartamentare;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05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Extrasul de carte funciară pentru autentificare;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06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Acordul instituției creditoare, dacă imobilul este ipotecat;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07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Certificatul de atestare fiscală emis pe numele proprietarului, fără debite;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i w:val="0"/>
          <w:color w:val="D92B20"/>
          <w:sz w:val="16"/>
        </w:rPr>
        <w:t>ACTE NECESARE</w:t>
      </w:r>
    </w:p>
    <w:p>
      <w:pPr>
        <w:spacing w:after="300"/>
      </w:pPr>
      <w:r>
        <w:rPr>
          <w:rFonts w:ascii="Georgia" w:hAnsi="Georgia"/>
          <w:b/>
          <w:i w:val="0"/>
          <w:color w:val="303030"/>
          <w:sz w:val="40"/>
        </w:rPr>
        <w:t>Datele părților și situații particulare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peopl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DATELE ȘI ACTELE PĂRȚILOR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08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Certificatul de căsătorie și/sau sentința de divorț, dacă este cazul;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09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Actele de identitate ale părților (buletine sau cărți de identitate);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10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Procura, dacă una dintre părți este reprezentată prin mandatar;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company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PERSOANĂ JURIDICĂ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11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În cazul în care una dintre părți este persoană juridică: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12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Hotărârea Adunării Generale a Asociaților privind încheierea actului a cărui autentificare se solicită;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13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Actele societății: Act Constitutiv, C.U.I. și Certificat constatator.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7F5F4"/>
            <w:tcBorders>
              <w:top w:val="single" w:sz="5" w:color="D92B20"/>
              <w:left w:val="single" w:sz="5" w:color="D92B20"/>
              <w:bottom w:val="single" w:sz="5" w:color="D92B20"/>
              <w:right w:val="single" w:sz="5" w:color="D92B20"/>
              <w:insideH w:val="single" w:sz="5" w:color="D92B20"/>
              <w:insideV w:val="single" w:sz="5" w:color="D92B20"/>
            </w:tcBorders>
            <w:tcMar>
              <w:top w:w="120" w:type="dxa"/>
              <w:start w:w="210" w:type="dxa"/>
              <w:bottom w:w="120" w:type="dxa"/>
              <w:end w:w="210" w:type="dxa"/>
            </w:tcMar>
          </w:tcPr>
          <w:p>
            <w:pPr>
              <w:spacing w:after="60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IMPORTANT</w:t>
            </w:r>
          </w:p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LA DATA SEMNĂRII, ESTE OBLIGATORIE PREZENTAREA TUTUROR ACTELOR ÎN ORIGINAL.</w:t>
            </w:r>
          </w:p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DUPĂ ANALIZA DOCUMENTAȚIEI, POT FI SOLICITATE DOCUMENTE SUPLIMENTARE.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TOATE DOCUMENTELE NECESARE VOR FI TRANSMISE CEL TÂRZIU ÎN PREZIUA ÎNDEPLINIRII PROCEDURII NOTARIALE.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992" w:bottom="822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</w:tblPr>
    <w:tblGrid>
      <w:gridCol w:w="3307"/>
      <w:gridCol w:w="3307"/>
      <w:gridCol w:w="3307"/>
    </w:tblGrid>
    <w:tr>
      <w:tc>
        <w:tcPr>
          <w:tcW w:type="dxa" w:w="1020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r>
            <w:drawing>
              <wp:inline xmlns:a="http://schemas.openxmlformats.org/drawingml/2006/main" xmlns:pic="http://schemas.openxmlformats.org/drawingml/2006/picture">
                <wp:extent cx="413999" cy="298079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cc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3999" cy="29807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9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r>
            <w:rPr>
              <w:rFonts w:ascii="Aptos" w:hAnsi="Aptos"/>
              <w:b/>
              <w:i w:val="0"/>
              <w:color w:val="6C6C6C"/>
              <w:sz w:val="14"/>
            </w:rPr>
            <w:t>CCO Building · Bd. Eroii Sanitari nr. 1-3</w:t>
            <w:br/>
            <w:t>sector 5, București</w:t>
          </w:r>
        </w:p>
      </w:tc>
      <w:tc>
        <w:tcPr>
          <w:tcW w:type="dxa" w:w="4309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pPr>
            <w:jc w:val="right"/>
          </w:pPr>
          <w:r>
            <w:rPr>
              <w:rFonts w:ascii="Aptos" w:hAnsi="Aptos"/>
              <w:b w:val="0"/>
              <w:i w:val="0"/>
              <w:color w:val="6C6C6C"/>
              <w:sz w:val="13"/>
            </w:rPr>
            <w:t>021.224.03.50  ·  0751.298.800</w:t>
            <w:br/>
            <w:t>office@aequitas-cotroceni.ro  ·  www.aequitas-cotroceni.ro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