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r>
        <w:drawing>
          <wp:inline xmlns:a="http://schemas.openxmlformats.org/drawingml/2006/main" xmlns:pic="http://schemas.openxmlformats.org/drawingml/2006/picture">
            <wp:extent cx="3816000" cy="522000"/>
            <wp:docPr id="1" name="Picture 1"/>
            <wp:cNvGraphicFramePr>
              <a:graphicFrameLocks noChangeAspect="1"/>
            </wp:cNvGraphicFramePr>
            <a:graphic>
              <a:graphicData uri="http://schemas.openxmlformats.org/drawingml/2006/picture">
                <pic:pic>
                  <pic:nvPicPr>
                    <pic:cNvPr id="0" name="logo_aequitas_rosu.png"/>
                    <pic:cNvPicPr/>
                  </pic:nvPicPr>
                  <pic:blipFill>
                    <a:blip r:embed="rId10"/>
                    <a:stretch>
                      <a:fillRect/>
                    </a:stretch>
                  </pic:blipFill>
                  <pic:spPr>
                    <a:xfrm>
                      <a:off x="0" y="0"/>
                      <a:ext cx="3816000" cy="522000"/>
                    </a:xfrm>
                    <a:prstGeom prst="rect"/>
                  </pic:spPr>
                </pic:pic>
              </a:graphicData>
            </a:graphic>
          </wp:inline>
        </w:drawing>
      </w:r>
    </w:p>
    <w:tbl>
      <w:tblPr>
        <w:tblW w:type="auto" w:w="0"/>
        <w:tblLayout w:type="fixed"/>
        <w:tblLook w:firstColumn="1" w:firstRow="1" w:lastColumn="0" w:lastRow="0" w:noHBand="0" w:noVBand="1" w:val="04A0"/>
      </w:tblPr>
      <w:tblGrid>
        <w:gridCol w:w="255"/>
        <w:gridCol w:w="9411"/>
      </w:tblGrid>
      <w:tr>
        <w:tc>
          <w:tcPr>
            <w:tcW w:type="dxa" w:w="5128"/>
            <w:shd w:fill="D92B20"/>
            <w:tcBorders>
              <w:top w:val="single" w:sz="0" w:color="D92B20"/>
              <w:left w:val="single" w:sz="0" w:color="D92B20"/>
              <w:bottom w:val="single" w:sz="0" w:color="D92B20"/>
              <w:right w:val="single" w:sz="0" w:color="D92B20"/>
              <w:insideH w:val="single" w:sz="0" w:color="D92B20"/>
              <w:insideV w:val="single" w:sz="0" w:color="D92B20"/>
            </w:tcBorders>
          </w:tcPr>
          <w:p/>
        </w:tc>
        <w:tc>
          <w:tcPr>
            <w:tcW w:type="dxa" w:w="5128"/>
            <w:shd w:fill="F7F5F4"/>
            <w:tcBorders>
              <w:top w:val="single" w:sz="0" w:color="F7F5F4"/>
              <w:left w:val="single" w:sz="0" w:color="F7F5F4"/>
              <w:bottom w:val="single" w:sz="0" w:color="F7F5F4"/>
              <w:right w:val="single" w:sz="0" w:color="F7F5F4"/>
              <w:insideH w:val="single" w:sz="0" w:color="F7F5F4"/>
              <w:insideV w:val="single" w:sz="0" w:color="F7F5F4"/>
            </w:tcBorders>
            <w:tcMar>
              <w:top w:w="650" w:type="dxa"/>
              <w:start w:w="700" w:type="dxa"/>
              <w:bottom w:w="650" w:type="dxa"/>
              <w:end w:w="700" w:type="dxa"/>
            </w:tcMar>
          </w:tcPr>
          <w:p>
            <w:pPr>
              <w:spacing w:after="240"/>
            </w:pPr>
            <w:r>
              <w:rPr>
                <w:rFonts w:ascii="Aptos" w:hAnsi="Aptos"/>
                <w:b/>
                <w:i w:val="0"/>
                <w:color w:val="D92B20"/>
                <w:sz w:val="18"/>
              </w:rPr>
              <w:t>GHID PENTRU CLIENȚI</w:t>
            </w:r>
          </w:p>
          <w:p>
            <w:pPr>
              <w:spacing w:after="360"/>
            </w:pPr>
            <w:r>
              <w:rPr>
                <w:rFonts w:ascii="Georgia" w:hAnsi="Georgia"/>
                <w:b/>
                <w:i w:val="0"/>
                <w:color w:val="303030"/>
                <w:sz w:val="58"/>
              </w:rPr>
              <w:t>ACTE NECESARE</w:t>
            </w:r>
          </w:p>
          <w:p>
            <w:pPr>
              <w:spacing w:after="300"/>
            </w:pPr>
            <w:r>
              <w:rPr>
                <w:rFonts w:ascii="Georgia" w:hAnsi="Georgia"/>
                <w:b w:val="0"/>
                <w:i w:val="0"/>
                <w:color w:val="D92B20"/>
                <w:sz w:val="44"/>
              </w:rPr>
              <w:t>Divorț</w:t>
              <w:br/>
              <w:t>amiabil</w:t>
            </w:r>
          </w:p>
          <w:p>
            <w:pPr>
              <w:spacing w:before="240"/>
            </w:pPr>
            <w:r>
              <w:rPr>
                <w:rFonts w:ascii="Aptos" w:hAnsi="Aptos"/>
                <w:b w:val="0"/>
                <w:i/>
                <w:color w:val="6C6C6C"/>
                <w:sz w:val="22"/>
              </w:rPr>
              <w:t>O listă clară pentru pregătirea dosarului notarial</w:t>
            </w:r>
          </w:p>
        </w:tc>
      </w:tr>
    </w:tbl>
    <w:p>
      <w:pPr>
        <w:spacing w:before="760"/>
        <w:jc w:val="right"/>
      </w:pPr>
      <w:r>
        <w:rPr>
          <w:rFonts w:ascii="Aptos" w:hAnsi="Aptos"/>
          <w:b/>
          <w:i w:val="0"/>
          <w:color w:val="6C6C6C"/>
          <w:sz w:val="17"/>
        </w:rPr>
        <w:t>EXPERIENȚĂ. PROFESIONALISM. RESPECT.</w:t>
      </w:r>
    </w:p>
    <w:p>
      <w:r>
        <w:br w:type="page"/>
      </w:r>
    </w:p>
    <w:p>
      <w:pPr>
        <w:spacing w:after="60"/>
      </w:pPr>
      <w:r>
        <w:rPr>
          <w:rFonts w:ascii="Aptos" w:hAnsi="Aptos"/>
          <w:b/>
          <w:i w:val="0"/>
          <w:color w:val="D92B20"/>
          <w:sz w:val="16"/>
        </w:rPr>
        <w:t>ACTE NECESARE</w:t>
      </w:r>
    </w:p>
    <w:p>
      <w:pPr>
        <w:spacing w:after="300"/>
      </w:pPr>
      <w:r>
        <w:rPr>
          <w:rFonts w:ascii="Georgia" w:hAnsi="Georgia"/>
          <w:b/>
          <w:i w:val="0"/>
          <w:color w:val="303030"/>
          <w:sz w:val="40"/>
        </w:rPr>
        <w:t>Pregătirea documentelor și a procedurii</w:t>
      </w:r>
    </w:p>
    <w:p>
      <w:pPr>
        <w:spacing w:before="80" w:after="100"/>
      </w:pPr>
      <w:r>
        <w:drawing>
          <wp:inline xmlns:a="http://schemas.openxmlformats.org/drawingml/2006/main" xmlns:pic="http://schemas.openxmlformats.org/drawingml/2006/picture">
            <wp:extent cx="154800" cy="154800"/>
            <wp:docPr id="2" name="Picture 2"/>
            <wp:cNvGraphicFramePr>
              <a:graphicFrameLocks noChangeAspect="1"/>
            </wp:cNvGraphicFramePr>
            <a:graphic>
              <a:graphicData uri="http://schemas.openxmlformats.org/drawingml/2006/picture">
                <pic:pic>
                  <pic:nvPicPr>
                    <pic:cNvPr id="0" name="batch_icon_people.png"/>
                    <pic:cNvPicPr/>
                  </pic:nvPicPr>
                  <pic:blipFill>
                    <a:blip r:embed="rId11"/>
                    <a:stretch>
                      <a:fillRect/>
                    </a:stretch>
                  </pic:blipFill>
                  <pic:spPr>
                    <a:xfrm>
                      <a:off x="0" y="0"/>
                      <a:ext cx="154800" cy="154800"/>
                    </a:xfrm>
                    <a:prstGeom prst="rect"/>
                  </pic:spPr>
                </pic:pic>
              </a:graphicData>
            </a:graphic>
          </wp:inline>
        </w:drawing>
      </w:r>
      <w:r>
        <w:rPr>
          <w:rFonts w:ascii="Aptos" w:hAnsi="Aptos"/>
          <w:b/>
          <w:i w:val="0"/>
          <w:color w:val="D92B20"/>
          <w:sz w:val="18"/>
        </w:rPr>
        <w:t xml:space="preserve">  DOCUMENTE NECESARE</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01</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Certificatul de căsătorie, în original;</w:t>
            </w:r>
          </w:p>
        </w:tc>
      </w:tr>
    </w:tbl>
    <w:p>
      <w:pPr>
        <w:spacing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02</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Certificatele de naștere și actele de identitate ale soților;</w:t>
            </w:r>
          </w:p>
        </w:tc>
      </w:tr>
    </w:tbl>
    <w:p>
      <w:pPr>
        <w:spacing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03</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Certificatele de naștere ale copiilor minori, dacă este cazul;</w:t>
            </w:r>
          </w:p>
        </w:tc>
      </w:tr>
    </w:tbl>
    <w:p>
      <w:pPr>
        <w:spacing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04</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Soții se vor prezenta personal sau prin mandatar cu procură specială autentică.</w:t>
            </w:r>
          </w:p>
        </w:tc>
      </w:tr>
    </w:tbl>
    <w:p>
      <w:pPr>
        <w:spacing w:after="0" w:line="20" w:lineRule="exact"/>
      </w:pPr>
      <w:r>
        <w:rPr>
          <w:rFonts w:ascii="Aptos" w:hAnsi="Aptos"/>
          <w:b w:val="0"/>
          <w:i w:val="0"/>
          <w:color w:val="FFFFFF"/>
          <w:sz w:val="2"/>
        </w:rPr>
        <w:t xml:space="preserve"> </w:t>
      </w:r>
    </w:p>
    <w:p>
      <w:pPr>
        <w:spacing w:before="80" w:after="100"/>
      </w:pPr>
      <w:r>
        <w:drawing>
          <wp:inline xmlns:a="http://schemas.openxmlformats.org/drawingml/2006/main" xmlns:pic="http://schemas.openxmlformats.org/drawingml/2006/picture">
            <wp:extent cx="154800" cy="154800"/>
            <wp:docPr id="3" name="Picture 3"/>
            <wp:cNvGraphicFramePr>
              <a:graphicFrameLocks noChangeAspect="1"/>
            </wp:cNvGraphicFramePr>
            <a:graphic>
              <a:graphicData uri="http://schemas.openxmlformats.org/drawingml/2006/picture">
                <pic:pic>
                  <pic:nvPicPr>
                    <pic:cNvPr id="0" name="batch_icon_special.png"/>
                    <pic:cNvPicPr/>
                  </pic:nvPicPr>
                  <pic:blipFill>
                    <a:blip r:embed="rId12"/>
                    <a:stretch>
                      <a:fillRect/>
                    </a:stretch>
                  </pic:blipFill>
                  <pic:spPr>
                    <a:xfrm>
                      <a:off x="0" y="0"/>
                      <a:ext cx="154800" cy="154800"/>
                    </a:xfrm>
                    <a:prstGeom prst="rect"/>
                  </pic:spPr>
                </pic:pic>
              </a:graphicData>
            </a:graphic>
          </wp:inline>
        </w:drawing>
      </w:r>
      <w:r>
        <w:rPr>
          <w:rFonts w:ascii="Aptos" w:hAnsi="Aptos"/>
          <w:b/>
          <w:i w:val="0"/>
          <w:color w:val="D92B20"/>
          <w:sz w:val="18"/>
        </w:rPr>
        <w:t xml:space="preserve">  DESFĂȘURAREA PROCEDURII</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A</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Soții completează cererea și, împreună cu notarul, stabilesc data și ora divorțului, în termen de 30 de zile;</w:t>
            </w:r>
          </w:p>
        </w:tc>
      </w:tr>
    </w:tbl>
    <w:p>
      <w:pPr>
        <w:spacing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B</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Dacă există copii minori, Societatea Profesională Notarială transmite Autorității Tutelare o adresă pentru efectuarea anchetei psihosociale. Autoritatea Tutelară va contacta părinții și va stabili data vizitei la locuința în care urmează să locuiască minorii;</w:t>
            </w:r>
          </w:p>
        </w:tc>
      </w:tr>
    </w:tbl>
    <w:p>
      <w:pPr>
        <w:spacing w:after="0" w:line="20" w:lineRule="exact"/>
      </w:pPr>
      <w:r>
        <w:rPr>
          <w:rFonts w:ascii="Aptos" w:hAnsi="Aptos"/>
          <w:b w:val="0"/>
          <w:i w:val="0"/>
          <w:color w:val="FFFFFF"/>
          <w:sz w:val="2"/>
        </w:rPr>
        <w:t xml:space="preserve"> </w:t>
      </w:r>
    </w:p>
    <w:tbl>
      <w:tblPr>
        <w:tblW w:type="auto" w:w="0"/>
        <w:tblLayout w:type="fixed"/>
        <w:tblLook w:firstColumn="1" w:firstRow="1" w:lastColumn="0" w:lastRow="0" w:noHBand="0" w:noVBand="1" w:val="04A0"/>
      </w:tblPr>
      <w:tblGrid>
        <w:gridCol w:w="567"/>
        <w:gridCol w:w="8957"/>
      </w:tblGrid>
      <w:tr>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jc w:val="center"/>
            </w:pPr>
            <w:r>
              <w:rPr>
                <w:rFonts w:ascii="Aptos" w:hAnsi="Aptos"/>
                <w:b/>
                <w:i w:val="0"/>
                <w:color w:val="D92B20"/>
                <w:sz w:val="17"/>
              </w:rPr>
              <w:t>C</w:t>
            </w:r>
          </w:p>
        </w:tc>
        <w:tc>
          <w:tcPr>
            <w:tcW w:type="dxa" w:w="5128"/>
            <w:tcBorders>
              <w:top w:val="nil" w:sz="5" w:color="E6E1DF"/>
              <w:left w:val="nil" w:sz="5" w:color="E6E1DF"/>
              <w:bottom w:val="single" w:sz="5" w:color="E6E1DF"/>
              <w:right w:val="nil" w:sz="5" w:color="E6E1DF"/>
              <w:insideH w:val="nil" w:sz="5" w:color="E6E1DF"/>
              <w:insideV w:val="nil" w:sz="5" w:color="E6E1DF"/>
            </w:tcBorders>
            <w:tcMar>
              <w:top w:w="105" w:type="dxa"/>
              <w:start w:w="60" w:type="dxa"/>
              <w:bottom w:w="105" w:type="dxa"/>
              <w:end w:w="90" w:type="dxa"/>
            </w:tcMar>
            <w:vAlign w:val="center"/>
          </w:tcPr>
          <w:p>
            <w:pPr>
              <w:spacing w:line="254" w:lineRule="auto"/>
            </w:pPr>
            <w:r>
              <w:rPr>
                <w:rFonts w:ascii="Aptos" w:hAnsi="Aptos"/>
                <w:b w:val="0"/>
                <w:i w:val="0"/>
                <w:color w:val="303030"/>
                <w:sz w:val="18"/>
              </w:rPr>
              <w:t>La data stabilită pentru divorț, părțile se vor prezenta personal. Minorii care au împlinit 10 ani vor fi audiați de notarul public cu privire la efectele convenției părinților referitoare la autoritatea părintească și programul stabilit pentru aceștia.</w:t>
            </w:r>
          </w:p>
        </w:tc>
      </w:tr>
    </w:tbl>
    <w:p>
      <w:pPr>
        <w:spacing w:after="0" w:line="20" w:lineRule="exact"/>
      </w:pPr>
      <w:r>
        <w:rPr>
          <w:rFonts w:ascii="Aptos" w:hAnsi="Aptos"/>
          <w:b w:val="0"/>
          <w:i w:val="0"/>
          <w:color w:val="FFFFFF"/>
          <w:sz w:val="2"/>
        </w:rPr>
        <w:t xml:space="preserve"> </w:t>
      </w:r>
    </w:p>
    <w:tbl>
      <w:tblPr>
        <w:tblW w:type="auto" w:w="0"/>
        <w:tblLook w:firstColumn="1" w:firstRow="1" w:lastColumn="0" w:lastRow="0" w:noHBand="0" w:noVBand="1" w:val="04A0"/>
      </w:tblPr>
      <w:tblGrid>
        <w:gridCol w:w="10256"/>
      </w:tblGrid>
      <w:tr>
        <w:tc>
          <w:tcPr>
            <w:tcW w:type="dxa" w:w="10256"/>
            <w:shd w:fill="F7F5F4"/>
            <w:tcBorders>
              <w:top w:val="single" w:sz="5" w:color="D92B20"/>
              <w:left w:val="single" w:sz="5" w:color="D92B20"/>
              <w:bottom w:val="single" w:sz="5" w:color="D92B20"/>
              <w:right w:val="single" w:sz="5" w:color="D92B20"/>
              <w:insideH w:val="single" w:sz="5" w:color="D92B20"/>
              <w:insideV w:val="single" w:sz="5" w:color="D92B20"/>
            </w:tcBorders>
            <w:tcMar>
              <w:top w:w="120" w:type="dxa"/>
              <w:start w:w="210" w:type="dxa"/>
              <w:bottom w:w="120" w:type="dxa"/>
              <w:end w:w="210" w:type="dxa"/>
            </w:tcMar>
          </w:tcPr>
          <w:p>
            <w:pPr>
              <w:spacing w:after="60"/>
            </w:pPr>
            <w:r>
              <w:rPr>
                <w:rFonts w:ascii="Aptos" w:hAnsi="Aptos"/>
                <w:b/>
                <w:i w:val="0"/>
                <w:color w:val="D92B20"/>
                <w:sz w:val="17"/>
              </w:rPr>
              <w:t>IMPORTANT</w:t>
            </w:r>
          </w:p>
          <w:p>
            <w:pPr>
              <w:spacing w:after="40"/>
            </w:pPr>
            <w:r>
              <w:rPr>
                <w:rFonts w:ascii="Aptos" w:hAnsi="Aptos"/>
                <w:b/>
                <w:i w:val="0"/>
                <w:color w:val="303030"/>
                <w:sz w:val="16"/>
              </w:rPr>
              <w:t>• LA DATA SEMNĂRII, ESTE OBLIGATORIE PREZENTAREA TUTUROR ACTELOR ÎN ORIGINAL.</w:t>
            </w:r>
          </w:p>
          <w:p>
            <w:pPr>
              <w:spacing w:after="40"/>
            </w:pPr>
            <w:r>
              <w:rPr>
                <w:rFonts w:ascii="Aptos" w:hAnsi="Aptos"/>
                <w:b/>
                <w:i w:val="0"/>
                <w:color w:val="303030"/>
                <w:sz w:val="16"/>
              </w:rPr>
              <w:t>• DUPĂ ANALIZA DOCUMENTAȚIEI, POT FI SOLICITATE DOCUMENTE SUPLIMENTARE.</w:t>
            </w:r>
          </w:p>
          <w:p>
            <w:pPr>
              <w:spacing w:after="0"/>
            </w:pPr>
            <w:r>
              <w:rPr>
                <w:rFonts w:ascii="Aptos" w:hAnsi="Aptos"/>
                <w:b/>
                <w:i w:val="0"/>
                <w:color w:val="303030"/>
                <w:sz w:val="16"/>
              </w:rPr>
              <w:t>• TOATE DOCUMENTELE NECESARE VOR FI TRANSMISE CEL TÂRZIU ÎN PREZIUA ÎNDEPLINIRII PROCEDURII NOTARIALE.</w:t>
            </w:r>
          </w:p>
        </w:tc>
      </w:tr>
    </w:tbl>
    <w:sectPr w:rsidR="00FC693F" w:rsidRPr="0006063C" w:rsidSect="00034616">
      <w:footerReference w:type="default" r:id="rId9"/>
      <w:pgSz w:w="12240" w:h="15840"/>
      <w:pgMar w:top="907" w:right="992" w:bottom="822"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3307"/>
      <w:gridCol w:w="3307"/>
      <w:gridCol w:w="3307"/>
    </w:tblGrid>
    <w:tr>
      <w:tc>
        <w:tcPr>
          <w:tcW w:type="dxa" w:w="1020"/>
          <w:tcBorders>
            <w:top w:val="single" w:sz="0" w:color="FFFFFF"/>
            <w:left w:val="single" w:sz="0" w:color="FFFFFF"/>
            <w:bottom w:val="single" w:sz="0" w:color="FFFFFF"/>
            <w:right w:val="single" w:sz="0" w:color="FFFFFF"/>
            <w:insideH w:val="single" w:sz="0" w:color="FFFFFF"/>
            <w:insideV w:val="single" w:sz="0" w:color="FFFFFF"/>
          </w:tcBorders>
          <w:tcMar>
            <w:top w:w="30" w:type="dxa"/>
            <w:start w:w="50" w:type="dxa"/>
            <w:bottom w:w="10" w:type="dxa"/>
            <w:end w:w="50" w:type="dxa"/>
          </w:tcMar>
        </w:tcPr>
        <w:p>
          <w:r>
            <w:drawing>
              <wp:inline xmlns:a="http://schemas.openxmlformats.org/drawingml/2006/main" xmlns:pic="http://schemas.openxmlformats.org/drawingml/2006/picture">
                <wp:extent cx="413999" cy="298079"/>
                <wp:docPr id="1" name="Picture 1"/>
                <wp:cNvGraphicFramePr>
                  <a:graphicFrameLocks noChangeAspect="1"/>
                </wp:cNvGraphicFramePr>
                <a:graphic>
                  <a:graphicData uri="http://schemas.openxmlformats.org/drawingml/2006/picture">
                    <pic:pic>
                      <pic:nvPicPr>
                        <pic:cNvPr id="0" name="logo_cco.png"/>
                        <pic:cNvPicPr/>
                      </pic:nvPicPr>
                      <pic:blipFill>
                        <a:blip r:embed="rId1"/>
                        <a:stretch>
                          <a:fillRect/>
                        </a:stretch>
                      </pic:blipFill>
                      <pic:spPr>
                        <a:xfrm>
                          <a:off x="0" y="0"/>
                          <a:ext cx="413999" cy="298079"/>
                        </a:xfrm>
                        <a:prstGeom prst="rect"/>
                      </pic:spPr>
                    </pic:pic>
                  </a:graphicData>
                </a:graphic>
              </wp:inline>
            </w:drawing>
          </w:r>
        </w:p>
      </w:tc>
      <w:tc>
        <w:tcPr>
          <w:tcW w:type="dxa" w:w="4592"/>
          <w:tcBorders>
            <w:top w:val="single" w:sz="0" w:color="FFFFFF"/>
            <w:left w:val="single" w:sz="0" w:color="FFFFFF"/>
            <w:bottom w:val="single" w:sz="0" w:color="FFFFFF"/>
            <w:right w:val="single" w:sz="0" w:color="FFFFFF"/>
            <w:insideH w:val="single" w:sz="0" w:color="FFFFFF"/>
            <w:insideV w:val="single" w:sz="0" w:color="FFFFFF"/>
          </w:tcBorders>
          <w:tcMar>
            <w:top w:w="30" w:type="dxa"/>
            <w:start w:w="50" w:type="dxa"/>
            <w:bottom w:w="10" w:type="dxa"/>
            <w:end w:w="50" w:type="dxa"/>
          </w:tcMar>
        </w:tcPr>
        <w:p>
          <w:r>
            <w:rPr>
              <w:rFonts w:ascii="Aptos" w:hAnsi="Aptos"/>
              <w:b/>
              <w:i w:val="0"/>
              <w:color w:val="6C6C6C"/>
              <w:sz w:val="14"/>
            </w:rPr>
            <w:t>CCO Building · Bd. Eroii Sanitari nr. 1-3</w:t>
            <w:br/>
            <w:t>sector 5, București</w:t>
          </w:r>
        </w:p>
      </w:tc>
      <w:tc>
        <w:tcPr>
          <w:tcW w:type="dxa" w:w="4309"/>
          <w:tcBorders>
            <w:top w:val="single" w:sz="0" w:color="FFFFFF"/>
            <w:left w:val="single" w:sz="0" w:color="FFFFFF"/>
            <w:bottom w:val="single" w:sz="0" w:color="FFFFFF"/>
            <w:right w:val="single" w:sz="0" w:color="FFFFFF"/>
            <w:insideH w:val="single" w:sz="0" w:color="FFFFFF"/>
            <w:insideV w:val="single" w:sz="0" w:color="FFFFFF"/>
          </w:tcBorders>
          <w:tcMar>
            <w:top w:w="30" w:type="dxa"/>
            <w:start w:w="50" w:type="dxa"/>
            <w:bottom w:w="10" w:type="dxa"/>
            <w:end w:w="50" w:type="dxa"/>
          </w:tcMar>
        </w:tcPr>
        <w:p>
          <w:pPr>
            <w:jc w:val="right"/>
          </w:pPr>
          <w:r>
            <w:rPr>
              <w:rFonts w:ascii="Aptos" w:hAnsi="Aptos"/>
              <w:b w:val="0"/>
              <w:i w:val="0"/>
              <w:color w:val="6C6C6C"/>
              <w:sz w:val="13"/>
            </w:rPr>
            <w:t>021.224.03.50  ·  0751.298.800</w:t>
            <w:br/>
            <w:t>office@aequitas-cotroceni.ro  ·  www.aequitas-cotroceni.ro</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