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44"/>
              </w:rPr>
              <w:t>Contract</w:t>
              <w:br/>
              <w:t>de comodat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Pregătirea documentelor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DOCUMENTELE BUNULUI ȘI ALE PĂRȚILOR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proprietate, în original și copie, intabulate în Cartea Funciară, dacă intabularea a fost efectuată;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Încheierea de intabulare emisă de Judecătoria sau ANCPI competentă;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înregistrare și actul constitutiv al persoanei juridice, dacă este cazul, în original și copie;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Împuternicirea pentru reprezentantul persoanei juridice,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Buletinele sau cărțile de identitate ale părților, în original.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speci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PENTRU COMODAT AUTO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A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înmatriculare, cartea de identitate a vehiculului și buletinele sau cărțile de identitate ale părților.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