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60A6" w14:textId="2ABFCDB8" w:rsidR="00AC09F1" w:rsidRPr="00AC09F1" w:rsidRDefault="00AC09F1">
      <w:pPr>
        <w:rPr>
          <w:rFonts w:ascii="Arial Narrow" w:hAnsi="Arial Narrow"/>
          <w:b/>
          <w:bCs/>
          <w:sz w:val="20"/>
          <w:szCs w:val="20"/>
        </w:rPr>
      </w:pPr>
      <w:r w:rsidRPr="00AC09F1">
        <w:rPr>
          <w:rFonts w:ascii="Arial Narrow" w:hAnsi="Arial Narrow"/>
          <w:b/>
          <w:bCs/>
          <w:sz w:val="20"/>
          <w:szCs w:val="20"/>
        </w:rPr>
        <w:t>EFECTELE CONTRACTULUI DE ÎNTREȚINERE</w:t>
      </w:r>
    </w:p>
    <w:p w14:paraId="597467CE" w14:textId="77777777" w:rsidR="00AC09F1" w:rsidRPr="00DF0D91" w:rsidRDefault="00AC09F1" w:rsidP="00AC09F1">
      <w:pPr>
        <w:shd w:val="clear" w:color="auto" w:fill="FFFFFF"/>
        <w:spacing w:before="225" w:after="75" w:line="240" w:lineRule="auto"/>
        <w:jc w:val="both"/>
        <w:outlineLvl w:val="3"/>
        <w:rPr>
          <w:rFonts w:ascii="Arial Narrow" w:eastAsia="Times New Roman" w:hAnsi="Arial Narrow" w:cs="Calibri"/>
          <w:b/>
          <w:bCs/>
          <w:noProof w:val="0"/>
          <w:color w:val="333333"/>
          <w:sz w:val="20"/>
          <w:szCs w:val="20"/>
          <w:lang w:val="it-IT"/>
        </w:rPr>
      </w:pPr>
      <w:r w:rsidRPr="00DF0D91">
        <w:rPr>
          <w:rFonts w:ascii="Arial Narrow" w:eastAsia="Times New Roman" w:hAnsi="Arial Narrow" w:cs="Calibri"/>
          <w:b/>
          <w:bCs/>
          <w:noProof w:val="0"/>
          <w:color w:val="2A76A7"/>
          <w:sz w:val="20"/>
          <w:szCs w:val="20"/>
          <w:lang w:val="it-IT"/>
        </w:rPr>
        <w:t>Art. 2.257.</w:t>
      </w:r>
      <w:r w:rsidRPr="00DF0D91">
        <w:rPr>
          <w:rFonts w:ascii="Arial Narrow" w:eastAsia="Times New Roman" w:hAnsi="Arial Narrow" w:cs="Calibri"/>
          <w:b/>
          <w:bCs/>
          <w:noProof w:val="0"/>
          <w:color w:val="48B7E6"/>
          <w:sz w:val="20"/>
          <w:szCs w:val="20"/>
          <w:lang w:val="it-IT"/>
        </w:rPr>
        <w:t> -</w:t>
      </w:r>
    </w:p>
    <w:p w14:paraId="61BF38BA"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b/>
          <w:bCs/>
          <w:noProof w:val="0"/>
          <w:color w:val="222222"/>
          <w:sz w:val="20"/>
          <w:szCs w:val="20"/>
          <w:lang w:val="it-IT"/>
        </w:rPr>
        <w:t>(1)</w:t>
      </w:r>
      <w:r w:rsidRPr="00DF0D91">
        <w:rPr>
          <w:rFonts w:ascii="Arial Narrow" w:eastAsia="Times New Roman" w:hAnsi="Arial Narrow" w:cs="Calibri"/>
          <w:noProof w:val="0"/>
          <w:color w:val="444444"/>
          <w:sz w:val="20"/>
          <w:szCs w:val="20"/>
          <w:lang w:val="it-IT"/>
        </w:rPr>
        <w:t> Debitorul întreţinerii datorează creditorului prestaţii stabilite în mod echitabil ţinându-se seama de valoarea capitalului şi de condiţia socială anterioară a creditorului.</w:t>
      </w:r>
    </w:p>
    <w:p w14:paraId="7FF0312D"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b/>
          <w:bCs/>
          <w:noProof w:val="0"/>
          <w:color w:val="222222"/>
          <w:sz w:val="20"/>
          <w:szCs w:val="20"/>
          <w:lang w:val="it-IT"/>
        </w:rPr>
        <w:t>(2)</w:t>
      </w:r>
      <w:r w:rsidRPr="00DF0D91">
        <w:rPr>
          <w:rFonts w:ascii="Arial Narrow" w:eastAsia="Times New Roman" w:hAnsi="Arial Narrow" w:cs="Calibri"/>
          <w:noProof w:val="0"/>
          <w:color w:val="444444"/>
          <w:sz w:val="20"/>
          <w:szCs w:val="20"/>
          <w:lang w:val="it-IT"/>
        </w:rPr>
        <w:t> Debitorul este obligat în special să asigure creditorului hrană, îmbrăcăminte, încălţăminte, menaj, precum şi folosinţa unei locuinţe corespunzătoare. Întreţinerea cuprinde, de asemenea, îngrijirile şi cheltuielile necesare în caz de boală.</w:t>
      </w:r>
    </w:p>
    <w:p w14:paraId="3C9B83FC"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b/>
          <w:bCs/>
          <w:noProof w:val="0"/>
          <w:color w:val="222222"/>
          <w:sz w:val="20"/>
          <w:szCs w:val="20"/>
          <w:lang w:val="it-IT"/>
        </w:rPr>
        <w:t>(3)</w:t>
      </w:r>
      <w:r w:rsidRPr="00DF0D91">
        <w:rPr>
          <w:rFonts w:ascii="Arial Narrow" w:eastAsia="Times New Roman" w:hAnsi="Arial Narrow" w:cs="Calibri"/>
          <w:noProof w:val="0"/>
          <w:color w:val="444444"/>
          <w:sz w:val="20"/>
          <w:szCs w:val="20"/>
          <w:lang w:val="it-IT"/>
        </w:rPr>
        <w:t> În cazul în care întreţinerea are caracter viager sau atunci când creditorul decedează în cursul duratei contractului, debitorul are obligaţia să îl înmormânteze.</w:t>
      </w:r>
    </w:p>
    <w:p w14:paraId="35231F1B"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b/>
          <w:bCs/>
          <w:noProof w:val="0"/>
          <w:color w:val="222222"/>
          <w:sz w:val="20"/>
          <w:szCs w:val="20"/>
          <w:lang w:val="it-IT"/>
        </w:rPr>
        <w:t>(4)</w:t>
      </w:r>
      <w:r w:rsidRPr="00DF0D91">
        <w:rPr>
          <w:rFonts w:ascii="Arial Narrow" w:eastAsia="Times New Roman" w:hAnsi="Arial Narrow" w:cs="Calibri"/>
          <w:noProof w:val="0"/>
          <w:color w:val="444444"/>
          <w:sz w:val="20"/>
          <w:szCs w:val="20"/>
          <w:lang w:val="it-IT"/>
        </w:rPr>
        <w:t> Întreţinerea continuă a fi datorată în aceeaşi măsură chiar dacă, în cursul executării contractului, bunul care a constituit capitalul a pierit total sau parţial ori şi-a diminuat valoarea, dintr-o cauză pentru care creditorul întreţinerii nu este ţinut să răspundă.</w:t>
      </w:r>
    </w:p>
    <w:p w14:paraId="1F6D305E"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b/>
          <w:bCs/>
          <w:noProof w:val="0"/>
          <w:color w:val="222222"/>
          <w:sz w:val="20"/>
          <w:szCs w:val="20"/>
          <w:lang w:val="it-IT"/>
        </w:rPr>
        <w:t>(5)</w:t>
      </w:r>
      <w:r w:rsidRPr="00DF0D91">
        <w:rPr>
          <w:rFonts w:ascii="Arial Narrow" w:eastAsia="Times New Roman" w:hAnsi="Arial Narrow" w:cs="Calibri"/>
          <w:noProof w:val="0"/>
          <w:color w:val="444444"/>
          <w:sz w:val="20"/>
          <w:szCs w:val="20"/>
          <w:lang w:val="it-IT"/>
        </w:rPr>
        <w:t> Clauza prin care creditorul întreţinerii se obligă la prestarea unor servicii este considerată nescrisă.</w:t>
      </w:r>
    </w:p>
    <w:p w14:paraId="09BA9FF4" w14:textId="77777777" w:rsidR="00AC09F1" w:rsidRPr="00DF0D91" w:rsidRDefault="00AC09F1" w:rsidP="00AC09F1">
      <w:pPr>
        <w:shd w:val="clear" w:color="auto" w:fill="FFFFFF"/>
        <w:spacing w:before="225" w:after="75" w:line="240" w:lineRule="auto"/>
        <w:jc w:val="both"/>
        <w:outlineLvl w:val="3"/>
        <w:rPr>
          <w:rFonts w:ascii="Arial Narrow" w:eastAsia="Times New Roman" w:hAnsi="Arial Narrow" w:cs="Calibri"/>
          <w:b/>
          <w:bCs/>
          <w:noProof w:val="0"/>
          <w:color w:val="333333"/>
          <w:sz w:val="20"/>
          <w:szCs w:val="20"/>
          <w:lang w:val="it-IT"/>
        </w:rPr>
      </w:pPr>
      <w:r w:rsidRPr="00DF0D91">
        <w:rPr>
          <w:rFonts w:ascii="Arial Narrow" w:eastAsia="Times New Roman" w:hAnsi="Arial Narrow" w:cs="Calibri"/>
          <w:b/>
          <w:bCs/>
          <w:noProof w:val="0"/>
          <w:color w:val="2A76A7"/>
          <w:sz w:val="20"/>
          <w:szCs w:val="20"/>
          <w:lang w:val="it-IT"/>
        </w:rPr>
        <w:t>Art. 2.258.</w:t>
      </w:r>
      <w:r w:rsidRPr="00DF0D91">
        <w:rPr>
          <w:rFonts w:ascii="Arial Narrow" w:eastAsia="Times New Roman" w:hAnsi="Arial Narrow" w:cs="Calibri"/>
          <w:b/>
          <w:bCs/>
          <w:noProof w:val="0"/>
          <w:color w:val="48B7E6"/>
          <w:sz w:val="20"/>
          <w:szCs w:val="20"/>
          <w:lang w:val="it-IT"/>
        </w:rPr>
        <w:t> -</w:t>
      </w:r>
    </w:p>
    <w:p w14:paraId="5796FBBA"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noProof w:val="0"/>
          <w:color w:val="444444"/>
          <w:sz w:val="20"/>
          <w:szCs w:val="20"/>
          <w:lang w:val="it-IT"/>
        </w:rPr>
        <w:t>Drepturile creditorului întreţinerii nu pot fi cedate sau supuse urmăririi.</w:t>
      </w:r>
    </w:p>
    <w:p w14:paraId="073D6A0D" w14:textId="77777777" w:rsidR="00AC09F1" w:rsidRPr="00DF0D91" w:rsidRDefault="00AC09F1" w:rsidP="00AC09F1">
      <w:pPr>
        <w:shd w:val="clear" w:color="auto" w:fill="FFFFFF"/>
        <w:spacing w:before="225" w:after="75" w:line="240" w:lineRule="auto"/>
        <w:jc w:val="both"/>
        <w:outlineLvl w:val="3"/>
        <w:rPr>
          <w:rFonts w:ascii="Arial Narrow" w:eastAsia="Times New Roman" w:hAnsi="Arial Narrow" w:cs="Calibri"/>
          <w:b/>
          <w:bCs/>
          <w:noProof w:val="0"/>
          <w:color w:val="333333"/>
          <w:sz w:val="20"/>
          <w:szCs w:val="20"/>
          <w:lang w:val="it-IT"/>
        </w:rPr>
      </w:pPr>
      <w:r w:rsidRPr="00DF0D91">
        <w:rPr>
          <w:rFonts w:ascii="Arial Narrow" w:eastAsia="Times New Roman" w:hAnsi="Arial Narrow" w:cs="Calibri"/>
          <w:b/>
          <w:bCs/>
          <w:noProof w:val="0"/>
          <w:color w:val="2A76A7"/>
          <w:sz w:val="20"/>
          <w:szCs w:val="20"/>
          <w:lang w:val="it-IT"/>
        </w:rPr>
        <w:t>Art. 2.259.</w:t>
      </w:r>
      <w:r w:rsidRPr="00DF0D91">
        <w:rPr>
          <w:rFonts w:ascii="Arial Narrow" w:eastAsia="Times New Roman" w:hAnsi="Arial Narrow" w:cs="Calibri"/>
          <w:b/>
          <w:bCs/>
          <w:noProof w:val="0"/>
          <w:color w:val="48B7E6"/>
          <w:sz w:val="20"/>
          <w:szCs w:val="20"/>
          <w:lang w:val="it-IT"/>
        </w:rPr>
        <w:t> -</w:t>
      </w:r>
    </w:p>
    <w:p w14:paraId="5A1A305D"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noProof w:val="0"/>
          <w:color w:val="444444"/>
          <w:sz w:val="20"/>
          <w:szCs w:val="20"/>
          <w:lang w:val="it-IT"/>
        </w:rPr>
        <w:t>Caracterul personal al contractului de întreţinere nu poate fi invocat de părţi pentru a se opune acţiunii în revocarea contractului sau acţiunii oblice introduse pentru executarea sa.</w:t>
      </w:r>
    </w:p>
    <w:p w14:paraId="5513DA00" w14:textId="77777777" w:rsidR="00AC09F1" w:rsidRPr="00DF0D91" w:rsidRDefault="00AC09F1" w:rsidP="00AC09F1">
      <w:pPr>
        <w:shd w:val="clear" w:color="auto" w:fill="FFFFFF"/>
        <w:spacing w:before="225" w:after="75" w:line="240" w:lineRule="auto"/>
        <w:jc w:val="both"/>
        <w:outlineLvl w:val="3"/>
        <w:rPr>
          <w:rFonts w:ascii="Arial Narrow" w:eastAsia="Times New Roman" w:hAnsi="Arial Narrow" w:cs="Calibri"/>
          <w:b/>
          <w:bCs/>
          <w:noProof w:val="0"/>
          <w:color w:val="333333"/>
          <w:sz w:val="20"/>
          <w:szCs w:val="20"/>
          <w:lang w:val="it-IT"/>
        </w:rPr>
      </w:pPr>
      <w:r w:rsidRPr="00DF0D91">
        <w:rPr>
          <w:rFonts w:ascii="Arial Narrow" w:eastAsia="Times New Roman" w:hAnsi="Arial Narrow" w:cs="Calibri"/>
          <w:b/>
          <w:bCs/>
          <w:noProof w:val="0"/>
          <w:color w:val="2A76A7"/>
          <w:sz w:val="20"/>
          <w:szCs w:val="20"/>
          <w:lang w:val="it-IT"/>
        </w:rPr>
        <w:t>Art. 2.260.</w:t>
      </w:r>
      <w:r w:rsidRPr="00DF0D91">
        <w:rPr>
          <w:rFonts w:ascii="Arial Narrow" w:eastAsia="Times New Roman" w:hAnsi="Arial Narrow" w:cs="Calibri"/>
          <w:b/>
          <w:bCs/>
          <w:noProof w:val="0"/>
          <w:color w:val="48B7E6"/>
          <w:sz w:val="20"/>
          <w:szCs w:val="20"/>
          <w:lang w:val="it-IT"/>
        </w:rPr>
        <w:t> -</w:t>
      </w:r>
    </w:p>
    <w:p w14:paraId="759F02B2"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b/>
          <w:bCs/>
          <w:noProof w:val="0"/>
          <w:color w:val="222222"/>
          <w:sz w:val="20"/>
          <w:szCs w:val="20"/>
          <w:lang w:val="it-IT"/>
        </w:rPr>
        <w:t>(1)</w:t>
      </w:r>
      <w:r w:rsidRPr="00DF0D91">
        <w:rPr>
          <w:rFonts w:ascii="Arial Narrow" w:eastAsia="Times New Roman" w:hAnsi="Arial Narrow" w:cs="Calibri"/>
          <w:noProof w:val="0"/>
          <w:color w:val="444444"/>
          <w:sz w:val="20"/>
          <w:szCs w:val="20"/>
          <w:lang w:val="it-IT"/>
        </w:rPr>
        <w:t> Contractul de întreţinere este revocabil în folosul persoanelor cărora creditorul întreţinerii le datorează alimente în temeiul legii dacă, prin efectul contractului, el s-a lipsit de mijloacele necesare îndeplinirii obligaţiei de a asigura alimentele.</w:t>
      </w:r>
    </w:p>
    <w:p w14:paraId="7037588D"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b/>
          <w:bCs/>
          <w:noProof w:val="0"/>
          <w:color w:val="222222"/>
          <w:sz w:val="20"/>
          <w:szCs w:val="20"/>
          <w:lang w:val="it-IT"/>
        </w:rPr>
        <w:t>(2)</w:t>
      </w:r>
      <w:r w:rsidRPr="00DF0D91">
        <w:rPr>
          <w:rFonts w:ascii="Arial Narrow" w:eastAsia="Times New Roman" w:hAnsi="Arial Narrow" w:cs="Calibri"/>
          <w:noProof w:val="0"/>
          <w:color w:val="444444"/>
          <w:sz w:val="20"/>
          <w:szCs w:val="20"/>
          <w:lang w:val="it-IT"/>
        </w:rPr>
        <w:t> Revocarea poate fi cerută chiar dacă nu există fraudă din partea debitorului întreţinerii şi indiferent de momentul încheierii contractului de întreţinere.</w:t>
      </w:r>
    </w:p>
    <w:p w14:paraId="164D1D06"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b/>
          <w:bCs/>
          <w:noProof w:val="0"/>
          <w:color w:val="222222"/>
          <w:sz w:val="20"/>
          <w:szCs w:val="20"/>
          <w:lang w:val="it-IT"/>
        </w:rPr>
        <w:t>(3)</w:t>
      </w:r>
      <w:r w:rsidRPr="00DF0D91">
        <w:rPr>
          <w:rFonts w:ascii="Arial Narrow" w:eastAsia="Times New Roman" w:hAnsi="Arial Narrow" w:cs="Calibri"/>
          <w:noProof w:val="0"/>
          <w:color w:val="444444"/>
          <w:sz w:val="20"/>
          <w:szCs w:val="20"/>
          <w:lang w:val="it-IT"/>
        </w:rPr>
        <w:t> În loc să dispună revocarea contractului, instanţa de judecată poate, chiar şi din oficiu, însă numai cu acordul debitorului întreţinerii, să îl oblige pe acesta să asigure alimente persoanelor faţă de care creditorul are o astfel de obligaţie legală, fără ca în acest mod să fie diminuate prestaţiile datorate creditorului întreţinerii.</w:t>
      </w:r>
    </w:p>
    <w:p w14:paraId="0AACB715" w14:textId="77777777" w:rsidR="00AC09F1" w:rsidRPr="00DF0D91" w:rsidRDefault="00AC09F1" w:rsidP="00AC09F1">
      <w:pPr>
        <w:shd w:val="clear" w:color="auto" w:fill="FFFFFF"/>
        <w:spacing w:before="225" w:after="75" w:line="240" w:lineRule="auto"/>
        <w:jc w:val="both"/>
        <w:outlineLvl w:val="3"/>
        <w:rPr>
          <w:rFonts w:ascii="Arial Narrow" w:eastAsia="Times New Roman" w:hAnsi="Arial Narrow" w:cs="Calibri"/>
          <w:b/>
          <w:bCs/>
          <w:noProof w:val="0"/>
          <w:color w:val="333333"/>
          <w:sz w:val="20"/>
          <w:szCs w:val="20"/>
          <w:lang w:val="it-IT"/>
        </w:rPr>
      </w:pPr>
      <w:r w:rsidRPr="00DF0D91">
        <w:rPr>
          <w:rFonts w:ascii="Arial Narrow" w:eastAsia="Times New Roman" w:hAnsi="Arial Narrow" w:cs="Calibri"/>
          <w:b/>
          <w:bCs/>
          <w:noProof w:val="0"/>
          <w:color w:val="2A76A7"/>
          <w:sz w:val="20"/>
          <w:szCs w:val="20"/>
          <w:lang w:val="it-IT"/>
        </w:rPr>
        <w:t>Art. 2.261.</w:t>
      </w:r>
      <w:r w:rsidRPr="00DF0D91">
        <w:rPr>
          <w:rFonts w:ascii="Arial Narrow" w:eastAsia="Times New Roman" w:hAnsi="Arial Narrow" w:cs="Calibri"/>
          <w:b/>
          <w:bCs/>
          <w:noProof w:val="0"/>
          <w:color w:val="48B7E6"/>
          <w:sz w:val="20"/>
          <w:szCs w:val="20"/>
          <w:lang w:val="it-IT"/>
        </w:rPr>
        <w:t> -</w:t>
      </w:r>
    </w:p>
    <w:p w14:paraId="1EF8565B"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b/>
          <w:bCs/>
          <w:noProof w:val="0"/>
          <w:color w:val="222222"/>
          <w:sz w:val="20"/>
          <w:szCs w:val="20"/>
          <w:lang w:val="it-IT"/>
        </w:rPr>
        <w:t>(1)</w:t>
      </w:r>
      <w:r w:rsidRPr="00DF0D91">
        <w:rPr>
          <w:rFonts w:ascii="Arial Narrow" w:eastAsia="Times New Roman" w:hAnsi="Arial Narrow" w:cs="Calibri"/>
          <w:noProof w:val="0"/>
          <w:color w:val="444444"/>
          <w:sz w:val="20"/>
          <w:szCs w:val="20"/>
          <w:lang w:val="it-IT"/>
        </w:rPr>
        <w:t> Dacă prestarea sau primirea în natură a întreţinerii nu mai poate continua din motive obiective sau dacă debitorul întreţinerii decedează şi nu intervine o înţelegere între părţi, instanţa judecătorească poate să înlocuiască, la cererea oricăreia dintre părţi, fie şi numai temporar, întreţinerea în natură cu o sumă de bani corespunzătoare.</w:t>
      </w:r>
    </w:p>
    <w:p w14:paraId="38159D9A"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b/>
          <w:bCs/>
          <w:noProof w:val="0"/>
          <w:color w:val="222222"/>
          <w:sz w:val="20"/>
          <w:szCs w:val="20"/>
          <w:lang w:val="it-IT"/>
        </w:rPr>
        <w:t>(2)</w:t>
      </w:r>
      <w:r w:rsidRPr="00DF0D91">
        <w:rPr>
          <w:rFonts w:ascii="Arial Narrow" w:eastAsia="Times New Roman" w:hAnsi="Arial Narrow" w:cs="Calibri"/>
          <w:noProof w:val="0"/>
          <w:color w:val="444444"/>
          <w:sz w:val="20"/>
          <w:szCs w:val="20"/>
          <w:lang w:val="it-IT"/>
        </w:rPr>
        <w:t> Atunci când prestarea sau primirea în natură a întreţinerii nu mai poate continua din culpa uneia dintre părţi, instanţa va majora sau, după caz, diminua cuantumul sumei de bani care înlocuieşte prestaţia de întreţinere.</w:t>
      </w:r>
    </w:p>
    <w:p w14:paraId="6BEE5E35" w14:textId="77777777" w:rsidR="00AC09F1" w:rsidRPr="00DF0D91" w:rsidRDefault="00AC09F1" w:rsidP="00AC09F1">
      <w:pPr>
        <w:shd w:val="clear" w:color="auto" w:fill="FFFFFF"/>
        <w:spacing w:before="225" w:after="75" w:line="240" w:lineRule="auto"/>
        <w:jc w:val="both"/>
        <w:outlineLvl w:val="3"/>
        <w:rPr>
          <w:rFonts w:ascii="Arial Narrow" w:eastAsia="Times New Roman" w:hAnsi="Arial Narrow" w:cs="Calibri"/>
          <w:b/>
          <w:bCs/>
          <w:noProof w:val="0"/>
          <w:color w:val="333333"/>
          <w:sz w:val="20"/>
          <w:szCs w:val="20"/>
          <w:lang w:val="it-IT"/>
        </w:rPr>
      </w:pPr>
      <w:r w:rsidRPr="00DF0D91">
        <w:rPr>
          <w:rFonts w:ascii="Arial Narrow" w:eastAsia="Times New Roman" w:hAnsi="Arial Narrow" w:cs="Calibri"/>
          <w:b/>
          <w:bCs/>
          <w:noProof w:val="0"/>
          <w:color w:val="2A76A7"/>
          <w:sz w:val="20"/>
          <w:szCs w:val="20"/>
          <w:lang w:val="it-IT"/>
        </w:rPr>
        <w:t>Art. 2.262.</w:t>
      </w:r>
      <w:r w:rsidRPr="00DF0D91">
        <w:rPr>
          <w:rFonts w:ascii="Arial Narrow" w:eastAsia="Times New Roman" w:hAnsi="Arial Narrow" w:cs="Calibri"/>
          <w:b/>
          <w:bCs/>
          <w:noProof w:val="0"/>
          <w:color w:val="48B7E6"/>
          <w:sz w:val="20"/>
          <w:szCs w:val="20"/>
          <w:lang w:val="it-IT"/>
        </w:rPr>
        <w:t> -</w:t>
      </w:r>
    </w:p>
    <w:p w14:paraId="32A112D0" w14:textId="12CA2A8C"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b/>
          <w:bCs/>
          <w:noProof w:val="0"/>
          <w:color w:val="222222"/>
          <w:sz w:val="20"/>
          <w:szCs w:val="20"/>
          <w:lang w:val="it-IT"/>
        </w:rPr>
        <w:t>(1)</w:t>
      </w:r>
      <w:r w:rsidRPr="00DF0D91">
        <w:rPr>
          <w:rFonts w:ascii="Arial Narrow" w:eastAsia="Times New Roman" w:hAnsi="Arial Narrow" w:cs="Calibri"/>
          <w:noProof w:val="0"/>
          <w:color w:val="444444"/>
          <w:sz w:val="20"/>
          <w:szCs w:val="20"/>
          <w:lang w:val="it-IT"/>
        </w:rPr>
        <w:t> În toate cazurile în care întreţinerea a fost înlocuită potrivit prevederilor </w:t>
      </w:r>
      <w:hyperlink r:id="rId5" w:anchor="p-56656136" w:tgtFrame="_blank" w:history="1">
        <w:r w:rsidRPr="00DF0D91">
          <w:rPr>
            <w:rFonts w:ascii="Arial Narrow" w:eastAsia="Times New Roman" w:hAnsi="Arial Narrow" w:cs="Calibri"/>
            <w:noProof w:val="0"/>
            <w:color w:val="1A86B6"/>
            <w:sz w:val="20"/>
            <w:szCs w:val="20"/>
            <w:u w:val="single"/>
            <w:lang w:val="it-IT"/>
          </w:rPr>
          <w:t>art. 2.261</w:t>
        </w:r>
      </w:hyperlink>
      <w:r w:rsidRPr="00DF0D91">
        <w:rPr>
          <w:rFonts w:ascii="Arial Narrow" w:eastAsia="Times New Roman" w:hAnsi="Arial Narrow" w:cs="Calibri"/>
          <w:noProof w:val="0"/>
          <w:color w:val="444444"/>
          <w:sz w:val="20"/>
          <w:szCs w:val="20"/>
          <w:lang w:val="it-IT"/>
        </w:rPr>
        <w:t> devin aplicabile dispoziţiile care reglementează contractul de rentă viageră.</w:t>
      </w:r>
    </w:p>
    <w:p w14:paraId="685B7D44" w14:textId="77777777" w:rsidR="00AC09F1" w:rsidRPr="00DF0D91" w:rsidRDefault="00AC09F1" w:rsidP="00AC09F1">
      <w:pPr>
        <w:shd w:val="clear" w:color="auto" w:fill="FFFFFF"/>
        <w:spacing w:after="150" w:line="240" w:lineRule="auto"/>
        <w:jc w:val="both"/>
        <w:rPr>
          <w:rFonts w:ascii="Arial Narrow" w:eastAsia="Times New Roman" w:hAnsi="Arial Narrow" w:cs="Calibri"/>
          <w:noProof w:val="0"/>
          <w:color w:val="333333"/>
          <w:sz w:val="20"/>
          <w:szCs w:val="20"/>
          <w:lang w:val="it-IT"/>
        </w:rPr>
      </w:pPr>
      <w:r w:rsidRPr="00DF0D91">
        <w:rPr>
          <w:rFonts w:ascii="Arial Narrow" w:eastAsia="Times New Roman" w:hAnsi="Arial Narrow" w:cs="Calibri"/>
          <w:b/>
          <w:bCs/>
          <w:noProof w:val="0"/>
          <w:color w:val="222222"/>
          <w:sz w:val="20"/>
          <w:szCs w:val="20"/>
          <w:lang w:val="it-IT"/>
        </w:rPr>
        <w:t>(2)</w:t>
      </w:r>
      <w:r w:rsidRPr="00DF0D91">
        <w:rPr>
          <w:rFonts w:ascii="Arial Narrow" w:eastAsia="Times New Roman" w:hAnsi="Arial Narrow" w:cs="Calibri"/>
          <w:noProof w:val="0"/>
          <w:color w:val="444444"/>
          <w:sz w:val="20"/>
          <w:szCs w:val="20"/>
          <w:lang w:val="it-IT"/>
        </w:rPr>
        <w:t> Cu toate acestea, dacă prin contractul de întreţinere nu s-a convenit altfel, obligaţia de plată a rentei rămâne indivizibilă între debitori.</w:t>
      </w:r>
    </w:p>
    <w:p w14:paraId="293BF352" w14:textId="77777777" w:rsidR="00AC09F1" w:rsidRDefault="00AC09F1"/>
    <w:p w14:paraId="5076476D" w14:textId="77777777" w:rsidR="00AC09F1" w:rsidRDefault="00AC09F1"/>
    <w:p w14:paraId="44DA4B40" w14:textId="77777777" w:rsidR="00AC09F1" w:rsidRDefault="00AC09F1"/>
    <w:p w14:paraId="27CCCB89" w14:textId="77777777" w:rsidR="00AC09F1" w:rsidRPr="00AC09F1" w:rsidRDefault="00AC09F1" w:rsidP="00AC09F1">
      <w:pPr>
        <w:pStyle w:val="ListParagraph"/>
        <w:ind w:left="1170"/>
        <w:jc w:val="both"/>
        <w:rPr>
          <w:rFonts w:ascii="Arial Narrow" w:hAnsi="Arial Narrow"/>
          <w:sz w:val="20"/>
          <w:szCs w:val="20"/>
        </w:rPr>
      </w:pPr>
    </w:p>
    <w:sectPr w:rsidR="00AC09F1" w:rsidRPr="00AC0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534"/>
    <w:multiLevelType w:val="hybridMultilevel"/>
    <w:tmpl w:val="687279B6"/>
    <w:lvl w:ilvl="0" w:tplc="58DC8CCE">
      <w:start w:val="1"/>
      <w:numFmt w:val="decimal"/>
      <w:lvlText w:val="%1."/>
      <w:lvlJc w:val="left"/>
      <w:pPr>
        <w:ind w:left="1170" w:hanging="360"/>
      </w:pPr>
      <w:rPr>
        <w:rFonts w:hint="default"/>
        <w:b/>
        <w:bCs/>
        <w:i/>
        <w:iCs/>
        <w:color w:val="00B050"/>
      </w:rPr>
    </w:lvl>
    <w:lvl w:ilvl="1" w:tplc="04090019">
      <w:start w:val="1"/>
      <w:numFmt w:val="lowerLetter"/>
      <w:lvlText w:val="%2."/>
      <w:lvlJc w:val="left"/>
      <w:pPr>
        <w:ind w:left="1890" w:hanging="360"/>
      </w:pPr>
    </w:lvl>
    <w:lvl w:ilvl="2" w:tplc="BEFE8F00">
      <w:start w:val="1"/>
      <w:numFmt w:val="lowerRoman"/>
      <w:lvlText w:val="%3."/>
      <w:lvlJc w:val="right"/>
      <w:pPr>
        <w:ind w:left="2610" w:hanging="180"/>
      </w:pPr>
      <w:rPr>
        <w:b w:val="0"/>
        <w:bCs w:val="0"/>
      </w:rPr>
    </w:lvl>
    <w:lvl w:ilvl="3" w:tplc="0409000F">
      <w:start w:val="1"/>
      <w:numFmt w:val="decimal"/>
      <w:lvlText w:val="%4."/>
      <w:lvlJc w:val="left"/>
      <w:pPr>
        <w:ind w:left="3330" w:hanging="360"/>
      </w:pPr>
    </w:lvl>
    <w:lvl w:ilvl="4" w:tplc="BD0E52CE">
      <w:start w:val="2"/>
      <w:numFmt w:val="lowerLetter"/>
      <w:lvlText w:val="%5)"/>
      <w:lvlJc w:val="left"/>
      <w:pPr>
        <w:ind w:left="4050" w:hanging="360"/>
      </w:pPr>
      <w:rPr>
        <w:rFonts w:hint="default"/>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107D42"/>
    <w:multiLevelType w:val="hybridMultilevel"/>
    <w:tmpl w:val="44B8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41902">
    <w:abstractNumId w:val="1"/>
  </w:num>
  <w:num w:numId="2" w16cid:durableId="29020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A1"/>
    <w:rsid w:val="00131D20"/>
    <w:rsid w:val="002D34A1"/>
    <w:rsid w:val="005A37D5"/>
    <w:rsid w:val="006E0656"/>
    <w:rsid w:val="00AC09F1"/>
    <w:rsid w:val="00C07FE9"/>
    <w:rsid w:val="00DF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788"/>
  <w15:chartTrackingRefBased/>
  <w15:docId w15:val="{97C4D2E8-6B23-4A66-B9DE-1685AD04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paragraph" w:styleId="Heading4">
    <w:name w:val="heading 4"/>
    <w:basedOn w:val="Normal"/>
    <w:link w:val="Heading4Char"/>
    <w:uiPriority w:val="9"/>
    <w:qFormat/>
    <w:rsid w:val="00AC09F1"/>
    <w:pPr>
      <w:spacing w:before="100" w:beforeAutospacing="1" w:after="100" w:afterAutospacing="1" w:line="240" w:lineRule="auto"/>
      <w:outlineLvl w:val="3"/>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09F1"/>
    <w:rPr>
      <w:rFonts w:ascii="Times New Roman" w:eastAsia="Times New Roman" w:hAnsi="Times New Roman" w:cs="Times New Roman"/>
      <w:b/>
      <w:bCs/>
      <w:sz w:val="24"/>
      <w:szCs w:val="24"/>
    </w:rPr>
  </w:style>
  <w:style w:type="paragraph" w:customStyle="1" w:styleId="al">
    <w:name w:val="a_l"/>
    <w:basedOn w:val="Normal"/>
    <w:rsid w:val="00AC09F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ac">
    <w:name w:val="a_c"/>
    <w:basedOn w:val="Normal"/>
    <w:rsid w:val="00AC09F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AC09F1"/>
    <w:rPr>
      <w:color w:val="0000FF"/>
      <w:u w:val="single"/>
    </w:rPr>
  </w:style>
  <w:style w:type="paragraph" w:styleId="ListParagraph">
    <w:name w:val="List Paragraph"/>
    <w:basedOn w:val="Normal"/>
    <w:uiPriority w:val="34"/>
    <w:qFormat/>
    <w:rsid w:val="00AC0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e5.ro/App/Document/gi2tsmbqhe/codul-civil-din-2009?pid=56656136&amp;d=2023-12-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Dinita</dc:creator>
  <cp:keywords/>
  <dc:description/>
  <cp:lastModifiedBy>RAZVAN ZORILA</cp:lastModifiedBy>
  <cp:revision>2</cp:revision>
  <dcterms:created xsi:type="dcterms:W3CDTF">2024-02-01T12:40:00Z</dcterms:created>
  <dcterms:modified xsi:type="dcterms:W3CDTF">2024-02-01T12:40:00Z</dcterms:modified>
</cp:coreProperties>
</file>