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60"/>
      </w:pPr>
      <w:r>
        <w:drawing>
          <wp:inline xmlns:a="http://schemas.openxmlformats.org/drawingml/2006/main" xmlns:pic="http://schemas.openxmlformats.org/drawingml/2006/picture">
            <wp:extent cx="3816000" cy="52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aequitas_rosu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6000" cy="522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5"/>
        <w:gridCol w:w="9411"/>
      </w:tblGrid>
      <w:tr>
        <w:tc>
          <w:tcPr>
            <w:tcW w:type="dxa" w:w="5128"/>
            <w:shd w:fill="D92B20"/>
            <w:tcBorders>
              <w:top w:val="single" w:sz="0" w:color="D92B20"/>
              <w:left w:val="single" w:sz="0" w:color="D92B20"/>
              <w:bottom w:val="single" w:sz="0" w:color="D92B20"/>
              <w:right w:val="single" w:sz="0" w:color="D92B20"/>
              <w:insideH w:val="single" w:sz="0" w:color="D92B20"/>
              <w:insideV w:val="single" w:sz="0" w:color="D92B20"/>
            </w:tcBorders>
          </w:tcPr>
          <w:p/>
        </w:tc>
        <w:tc>
          <w:tcPr>
            <w:tcW w:type="dxa" w:w="5128"/>
            <w:shd w:fill="F7F5F4"/>
            <w:tcBorders>
              <w:top w:val="single" w:sz="0" w:color="F7F5F4"/>
              <w:left w:val="single" w:sz="0" w:color="F7F5F4"/>
              <w:bottom w:val="single" w:sz="0" w:color="F7F5F4"/>
              <w:right w:val="single" w:sz="0" w:color="F7F5F4"/>
              <w:insideH w:val="single" w:sz="0" w:color="F7F5F4"/>
              <w:insideV w:val="single" w:sz="0" w:color="F7F5F4"/>
            </w:tcBorders>
            <w:tcMar>
              <w:top w:w="650" w:type="dxa"/>
              <w:start w:w="700" w:type="dxa"/>
              <w:bottom w:w="650" w:type="dxa"/>
              <w:end w:w="700" w:type="dxa"/>
            </w:tcMar>
          </w:tcPr>
          <w:p>
            <w:pPr>
              <w:spacing w:after="240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GHID PENTRU CLIENȚI</w:t>
            </w:r>
          </w:p>
          <w:p>
            <w:pPr>
              <w:spacing w:after="360"/>
            </w:pPr>
            <w:r>
              <w:rPr>
                <w:rFonts w:ascii="Georgia" w:hAnsi="Georgia"/>
                <w:b/>
                <w:i w:val="0"/>
                <w:color w:val="303030"/>
                <w:sz w:val="58"/>
              </w:rPr>
              <w:t>ACTE NECESARE</w:t>
            </w:r>
          </w:p>
          <w:p>
            <w:pPr>
              <w:spacing w:after="300"/>
            </w:pPr>
            <w:r>
              <w:rPr>
                <w:rFonts w:ascii="Georgia" w:hAnsi="Georgia"/>
                <w:b w:val="0"/>
                <w:i w:val="0"/>
                <w:color w:val="D92B20"/>
                <w:sz w:val="40"/>
              </w:rPr>
              <w:t>Contract de</w:t>
              <w:br/>
              <w:t>vânzare-cumpărare</w:t>
              <w:br/>
              <w:t>teren extravilan</w:t>
            </w:r>
          </w:p>
          <w:p>
            <w:pPr>
              <w:spacing w:before="240"/>
            </w:pPr>
            <w:r>
              <w:rPr>
                <w:rFonts w:ascii="Aptos" w:hAnsi="Aptos"/>
                <w:b w:val="0"/>
                <w:i/>
                <w:color w:val="6C6C6C"/>
                <w:sz w:val="22"/>
              </w:rPr>
              <w:t>O listă clară pentru pregătirea dosarului notarial</w:t>
            </w:r>
          </w:p>
        </w:tc>
      </w:tr>
    </w:tbl>
    <w:p>
      <w:pPr>
        <w:spacing w:before="760"/>
        <w:jc w:val="right"/>
      </w:pPr>
      <w:r>
        <w:rPr>
          <w:rFonts w:ascii="Aptos" w:hAnsi="Aptos"/>
          <w:b/>
          <w:i w:val="0"/>
          <w:color w:val="6C6C6C"/>
          <w:sz w:val="17"/>
        </w:rPr>
        <w:t>EXPERIENȚĂ. PROFESIONALISM. RESPECT.</w:t>
      </w:r>
    </w:p>
    <w:p>
      <w:r>
        <w:br w:type="page"/>
      </w:r>
    </w:p>
    <w:p>
      <w:pPr>
        <w:spacing w:after="60"/>
      </w:pPr>
      <w:r>
        <w:rPr>
          <w:rFonts w:ascii="Aptos" w:hAnsi="Aptos"/>
          <w:b/>
          <w:i w:val="0"/>
          <w:color w:val="D92B20"/>
          <w:sz w:val="16"/>
        </w:rPr>
        <w:t>ACTE NECESARE</w:t>
      </w:r>
    </w:p>
    <w:p>
      <w:pPr>
        <w:spacing w:after="300"/>
      </w:pPr>
      <w:r>
        <w:rPr>
          <w:rFonts w:ascii="Georgia" w:hAnsi="Georgia"/>
          <w:b/>
          <w:i w:val="0"/>
          <w:color w:val="303030"/>
          <w:sz w:val="40"/>
        </w:rPr>
        <w:t>Pregătirea documentelor</w:t>
      </w:r>
    </w:p>
    <w:p>
      <w:pPr>
        <w:spacing w:before="80" w:after="100"/>
      </w:pPr>
      <w:r>
        <w:drawing>
          <wp:inline xmlns:a="http://schemas.openxmlformats.org/drawingml/2006/main" xmlns:pic="http://schemas.openxmlformats.org/drawingml/2006/picture">
            <wp:extent cx="154800" cy="1548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_hom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i w:val="0"/>
          <w:color w:val="D92B20"/>
          <w:sz w:val="18"/>
        </w:rPr>
        <w:t xml:space="preserve">  DOCUMENTELE IMOBILULUI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01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Actele de proprietate (după caz: titlu de proprietate, contract de vânzare, certificat de moștenitor, contract de donație, sentință/decizie civilă definitivă și irevocabilă etc.);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02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Dovada achitării integrale a prețului din actul de dobândire;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03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Documentația cadastrală a bunului imobil (planul de amplasament și delimitare, încheierea de intabulare în cartea funciară emisă de Judecătoria/ANCPI competentă etc.);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04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Certificatul de atestare fiscală, în original, emis pe numele fiecărui proprietar, eliberat de Direcția de impozite și taxe locale competentă, fără debite;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05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Extras de Carte Funciară pentru autentificare, obținut de Societatea Profesională Notarială;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p>
      <w:pPr>
        <w:spacing w:before="80" w:after="100"/>
      </w:pPr>
      <w:r>
        <w:drawing>
          <wp:inline xmlns:a="http://schemas.openxmlformats.org/drawingml/2006/main" xmlns:pic="http://schemas.openxmlformats.org/drawingml/2006/picture">
            <wp:extent cx="154800" cy="1548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_special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i w:val="0"/>
          <w:color w:val="D92B20"/>
          <w:sz w:val="18"/>
        </w:rPr>
        <w:t xml:space="preserve">  PROCEDURA POTRIVIT LEGII NR. 17/2014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06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Avizele prevăzute de Legea nr. 17/2014 pentru terenurile agricole situate în extravilan;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07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Oferta de vânzare;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08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Procesul-verbal final privind parcurgerea etapelor procedurale referitoare la ofertă;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09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Procesul-verbal de finalizare a procedurii, cu constatarea acceptărilor/neacceptărilor din partea preemptorilor și/sau a potențialilor cumpărători;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10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Adeverința privind inexistența siturilor arheologice clasate, după caz;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11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Avizul Ministerului Apărării Naționale, pentru terenurile prevăzute la art. 3 din Legea nr. 17/2014;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p>
      <w:r>
        <w:br w:type="page"/>
      </w:r>
    </w:p>
    <w:p>
      <w:pPr>
        <w:spacing w:after="60"/>
      </w:pPr>
      <w:r>
        <w:rPr>
          <w:rFonts w:ascii="Aptos" w:hAnsi="Aptos"/>
          <w:b/>
          <w:i w:val="0"/>
          <w:color w:val="D92B20"/>
          <w:sz w:val="16"/>
        </w:rPr>
        <w:t>ACTE NECESARE</w:t>
      </w:r>
    </w:p>
    <w:p>
      <w:pPr>
        <w:spacing w:after="300"/>
      </w:pPr>
      <w:r>
        <w:rPr>
          <w:rFonts w:ascii="Georgia" w:hAnsi="Georgia"/>
          <w:b/>
          <w:i w:val="0"/>
          <w:color w:val="303030"/>
          <w:sz w:val="40"/>
        </w:rPr>
        <w:t>Datele părților și situații particulare</w:t>
      </w:r>
    </w:p>
    <w:p>
      <w:pPr>
        <w:spacing w:before="80" w:after="100"/>
      </w:pPr>
      <w:r>
        <w:drawing>
          <wp:inline xmlns:a="http://schemas.openxmlformats.org/drawingml/2006/main" xmlns:pic="http://schemas.openxmlformats.org/drawingml/2006/picture">
            <wp:extent cx="154800" cy="1548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_peopl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i w:val="0"/>
          <w:color w:val="D92B20"/>
          <w:sz w:val="18"/>
        </w:rPr>
        <w:t xml:space="preserve">  DATELE ȘI ACTELE PĂRȚILOR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12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Conturile bancare ale vânzătorului și cumpărătorului din/în care se efectuează plata prețului;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13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Certificate de căsătorie și/sau sentință de divorț, dacă este cazul;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14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Actele de identitate ale părților (buletine sau cărți de identitate);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15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Procura, dacă una dintre părți este reprezentată prin mandatar;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p>
      <w:pPr>
        <w:spacing w:before="80" w:after="100"/>
      </w:pPr>
      <w:r>
        <w:drawing>
          <wp:inline xmlns:a="http://schemas.openxmlformats.org/drawingml/2006/main" xmlns:pic="http://schemas.openxmlformats.org/drawingml/2006/picture">
            <wp:extent cx="154800" cy="1548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_company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i w:val="0"/>
          <w:color w:val="D92B20"/>
          <w:sz w:val="18"/>
        </w:rPr>
        <w:t xml:space="preserve">  PERSOANĂ JURIDICĂ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16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În cazul în care una dintre părți este persoană juridică: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17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Hotărârea Adunării Generale a Asociaților sau Decizia Asociatului Unic privind încheierea actului a cărui autentificare se solicită;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18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Actele societății: Act Constitutiv, Certificat de înmatriculare și Certificat constatator de dată recentă (acesta poate fi obținut de Societatea Profesională Notarială) etc.;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p>
      <w:pPr>
        <w:spacing w:before="80" w:after="100"/>
      </w:pPr>
      <w:r>
        <w:drawing>
          <wp:inline xmlns:a="http://schemas.openxmlformats.org/drawingml/2006/main" xmlns:pic="http://schemas.openxmlformats.org/drawingml/2006/picture">
            <wp:extent cx="154800" cy="1548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_special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i w:val="0"/>
          <w:color w:val="D92B20"/>
          <w:sz w:val="18"/>
        </w:rPr>
        <w:t xml:space="preserve">  OBLIGAȚII FISCALE ALE CUMPĂRĂTORULUI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19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Certificat de atestare fiscală emis pentru fiecare cumpărător (O.U.G. nr. 7/2026), din care să rezulte că nu are datorii la bugetul local de la domiciliu sau, pentru cumpărătorii persoane juridice, de la sediul social.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F7F5F4"/>
            <w:tcBorders>
              <w:top w:val="single" w:sz="5" w:color="D92B20"/>
              <w:left w:val="single" w:sz="5" w:color="D92B20"/>
              <w:bottom w:val="single" w:sz="5" w:color="D92B20"/>
              <w:right w:val="single" w:sz="5" w:color="D92B20"/>
              <w:insideH w:val="single" w:sz="5" w:color="D92B20"/>
              <w:insideV w:val="single" w:sz="5" w:color="D92B20"/>
            </w:tcBorders>
            <w:tcMar>
              <w:top w:w="120" w:type="dxa"/>
              <w:start w:w="210" w:type="dxa"/>
              <w:bottom w:w="120" w:type="dxa"/>
              <w:end w:w="210" w:type="dxa"/>
            </w:tcMar>
          </w:tcPr>
          <w:p>
            <w:pPr>
              <w:spacing w:after="60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IMPORTANT</w:t>
            </w:r>
          </w:p>
          <w:p>
            <w:pPr>
              <w:spacing w:after="40"/>
            </w:pPr>
            <w:r>
              <w:rPr>
                <w:rFonts w:ascii="Aptos" w:hAnsi="Aptos"/>
                <w:b/>
                <w:i w:val="0"/>
                <w:color w:val="303030"/>
                <w:sz w:val="16"/>
              </w:rPr>
              <w:t>• LA DATA SEMNĂRII, ESTE OBLIGATORIE PREZENTAREA TUTUROR ACTELOR ÎN ORIGINAL.</w:t>
            </w:r>
          </w:p>
          <w:p>
            <w:pPr>
              <w:spacing w:after="40"/>
            </w:pPr>
            <w:r>
              <w:rPr>
                <w:rFonts w:ascii="Aptos" w:hAnsi="Aptos"/>
                <w:b/>
                <w:i w:val="0"/>
                <w:color w:val="303030"/>
                <w:sz w:val="16"/>
              </w:rPr>
              <w:t>• DUPĂ ANALIZA DOCUMENTAȚIEI, POT FI SOLICITATE DOCUMENTE SUPLIMENTARE.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03030"/>
                <w:sz w:val="16"/>
              </w:rPr>
              <w:t>• TOATE DOCUMENTELE NECESARE VOR FI TRANSMISE CEL TÂRZIU ÎN PREZIUA ÎNDEPLINIRII PROCEDURII NOTARIALE.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07" w:right="992" w:bottom="822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ook w:firstColumn="1" w:firstRow="1" w:lastColumn="0" w:lastRow="0" w:noHBand="0" w:noVBand="1" w:val="04A0"/>
    </w:tblPr>
    <w:tblGrid>
      <w:gridCol w:w="3307"/>
      <w:gridCol w:w="3307"/>
      <w:gridCol w:w="3307"/>
    </w:tblGrid>
    <w:tr>
      <w:tc>
        <w:tcPr>
          <w:tcW w:type="dxa" w:w="1020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30" w:type="dxa"/>
            <w:start w:w="50" w:type="dxa"/>
            <w:bottom w:w="10" w:type="dxa"/>
            <w:end w:w="50" w:type="dxa"/>
          </w:tcMar>
        </w:tcPr>
        <w:p>
          <w:r>
            <w:drawing>
              <wp:inline xmlns:a="http://schemas.openxmlformats.org/drawingml/2006/main" xmlns:pic="http://schemas.openxmlformats.org/drawingml/2006/picture">
                <wp:extent cx="413999" cy="298079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cc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3999" cy="298079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92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30" w:type="dxa"/>
            <w:start w:w="50" w:type="dxa"/>
            <w:bottom w:w="10" w:type="dxa"/>
            <w:end w:w="50" w:type="dxa"/>
          </w:tcMar>
        </w:tcPr>
        <w:p>
          <w:r>
            <w:rPr>
              <w:rFonts w:ascii="Aptos" w:hAnsi="Aptos"/>
              <w:b/>
              <w:i w:val="0"/>
              <w:color w:val="6C6C6C"/>
              <w:sz w:val="14"/>
            </w:rPr>
            <w:t>CCO Building · Bd. Eroii Sanitari nr. 1-3</w:t>
            <w:br/>
            <w:t>sector 5, București</w:t>
          </w:r>
        </w:p>
      </w:tc>
      <w:tc>
        <w:tcPr>
          <w:tcW w:type="dxa" w:w="4309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30" w:type="dxa"/>
            <w:start w:w="50" w:type="dxa"/>
            <w:bottom w:w="10" w:type="dxa"/>
            <w:end w:w="50" w:type="dxa"/>
          </w:tcMar>
        </w:tcPr>
        <w:p>
          <w:pPr>
            <w:jc w:val="right"/>
          </w:pPr>
          <w:r>
            <w:rPr>
              <w:rFonts w:ascii="Aptos" w:hAnsi="Aptos"/>
              <w:b w:val="0"/>
              <w:i w:val="0"/>
              <w:color w:val="6C6C6C"/>
              <w:sz w:val="13"/>
            </w:rPr>
            <w:t>021.224.03.50  ·  0751.298.800</w:t>
            <w:br/>
            <w:t>office@aequitas-cotroceni.ro  ·  www.aequitas-cotroceni.ro</w:t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