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2CAB" w14:textId="4510F44C" w:rsidR="005A37D5" w:rsidRPr="00C773D7" w:rsidRDefault="00C773D7" w:rsidP="005C4AF1">
      <w:pPr>
        <w:spacing w:line="259" w:lineRule="auto"/>
        <w:jc w:val="both"/>
        <w:rPr>
          <w:rFonts w:ascii="Arial Narrow" w:hAnsi="Arial Narrow"/>
          <w:b/>
          <w:bCs/>
        </w:rPr>
      </w:pPr>
      <w:r w:rsidRPr="00C773D7">
        <w:rPr>
          <w:rFonts w:ascii="Arial Narrow" w:hAnsi="Arial Narrow"/>
          <w:b/>
          <w:bCs/>
        </w:rPr>
        <w:t>VANZAREA CU PLATA PRETULUI IN RATE SI REZERVA PROPRIETĂȚII</w:t>
      </w:r>
    </w:p>
    <w:p w14:paraId="6EB0194F" w14:textId="77777777" w:rsidR="00C773D7" w:rsidRPr="00C773D7" w:rsidRDefault="00C773D7" w:rsidP="005C4AF1">
      <w:pPr>
        <w:shd w:val="clear" w:color="auto" w:fill="FFFFFF"/>
        <w:spacing w:line="259" w:lineRule="auto"/>
        <w:jc w:val="both"/>
        <w:rPr>
          <w:rFonts w:ascii="Arial Narrow" w:eastAsia="Times New Roman" w:hAnsi="Arial Narrow" w:cs="Calibri"/>
          <w:noProof w:val="0"/>
          <w:color w:val="333333"/>
          <w:kern w:val="0"/>
          <w:lang w:eastAsia="ro-RO"/>
          <w14:ligatures w14:val="none"/>
        </w:rPr>
      </w:pPr>
      <w:r w:rsidRPr="00C773D7">
        <w:rPr>
          <w:rFonts w:ascii="Arial Narrow" w:eastAsia="Times New Roman" w:hAnsi="Arial Narrow" w:cs="Calibri"/>
          <w:b/>
          <w:bCs/>
          <w:noProof w:val="0"/>
          <w:color w:val="444444"/>
          <w:kern w:val="0"/>
          <w:lang w:eastAsia="ro-RO"/>
          <w14:ligatures w14:val="none"/>
        </w:rPr>
        <w:t xml:space="preserve">Transmiterea </w:t>
      </w:r>
      <w:proofErr w:type="spellStart"/>
      <w:r w:rsidRPr="00C773D7">
        <w:rPr>
          <w:rFonts w:ascii="Arial Narrow" w:eastAsia="Times New Roman" w:hAnsi="Arial Narrow" w:cs="Calibri"/>
          <w:b/>
          <w:bCs/>
          <w:noProof w:val="0"/>
          <w:color w:val="444444"/>
          <w:kern w:val="0"/>
          <w:lang w:eastAsia="ro-RO"/>
          <w14:ligatures w14:val="none"/>
        </w:rPr>
        <w:t>proprietăţii</w:t>
      </w:r>
      <w:proofErr w:type="spellEnd"/>
    </w:p>
    <w:p w14:paraId="74C7E53B" w14:textId="77777777" w:rsidR="00C773D7" w:rsidRPr="00C773D7" w:rsidRDefault="00C773D7" w:rsidP="005C4AF1">
      <w:pPr>
        <w:shd w:val="clear" w:color="auto" w:fill="FFFFFF"/>
        <w:spacing w:line="259" w:lineRule="auto"/>
        <w:jc w:val="both"/>
        <w:outlineLvl w:val="3"/>
        <w:rPr>
          <w:rFonts w:ascii="Arial Narrow" w:eastAsia="Times New Roman" w:hAnsi="Arial Narrow" w:cs="Calibri"/>
          <w:b/>
          <w:bCs/>
          <w:noProof w:val="0"/>
          <w:color w:val="333333"/>
          <w:kern w:val="0"/>
          <w:lang w:eastAsia="ro-RO"/>
          <w14:ligatures w14:val="none"/>
        </w:rPr>
      </w:pPr>
      <w:r w:rsidRPr="00C773D7">
        <w:rPr>
          <w:rFonts w:ascii="Arial Narrow" w:eastAsia="Times New Roman" w:hAnsi="Arial Narrow" w:cs="Calibri"/>
          <w:b/>
          <w:bCs/>
          <w:noProof w:val="0"/>
          <w:color w:val="2A76A7"/>
          <w:kern w:val="0"/>
          <w:lang w:eastAsia="ro-RO"/>
          <w14:ligatures w14:val="none"/>
        </w:rPr>
        <w:t>Art. 1.674. -</w:t>
      </w:r>
    </w:p>
    <w:p w14:paraId="33B1FA40" w14:textId="77777777" w:rsidR="00C773D7" w:rsidRPr="00C773D7" w:rsidRDefault="00C773D7" w:rsidP="005C4AF1">
      <w:pPr>
        <w:shd w:val="clear" w:color="auto" w:fill="FFFFFF"/>
        <w:spacing w:line="259" w:lineRule="auto"/>
        <w:jc w:val="both"/>
        <w:rPr>
          <w:rFonts w:ascii="Arial Narrow" w:eastAsia="Times New Roman" w:hAnsi="Arial Narrow" w:cs="Calibri"/>
          <w:noProof w:val="0"/>
          <w:color w:val="333333"/>
          <w:kern w:val="0"/>
          <w:lang w:eastAsia="ro-RO"/>
          <w14:ligatures w14:val="none"/>
        </w:rPr>
      </w:pPr>
      <w:r w:rsidRPr="00C773D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 xml:space="preserve">Cu </w:t>
      </w:r>
      <w:proofErr w:type="spellStart"/>
      <w:r w:rsidRPr="00C773D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>excepţia</w:t>
      </w:r>
      <w:proofErr w:type="spellEnd"/>
      <w:r w:rsidRPr="00C773D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 xml:space="preserve"> cazurilor prevăzute de lege ori dacă din </w:t>
      </w:r>
      <w:proofErr w:type="spellStart"/>
      <w:r w:rsidRPr="00C773D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>voinţa</w:t>
      </w:r>
      <w:proofErr w:type="spellEnd"/>
      <w:r w:rsidRPr="00C773D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 xml:space="preserve"> </w:t>
      </w:r>
      <w:proofErr w:type="spellStart"/>
      <w:r w:rsidRPr="00C773D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>părţilor</w:t>
      </w:r>
      <w:proofErr w:type="spellEnd"/>
      <w:r w:rsidRPr="00C773D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 xml:space="preserve"> nu rezultă contrariul, proprietatea se strămută de drept cumpărătorului din momentul încheierii contractului, chiar dacă bunul nu a fost predat ori </w:t>
      </w:r>
      <w:proofErr w:type="spellStart"/>
      <w:r w:rsidRPr="00C773D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>preţul</w:t>
      </w:r>
      <w:proofErr w:type="spellEnd"/>
      <w:r w:rsidRPr="00C773D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 xml:space="preserve"> nu a fost plătit încă.</w:t>
      </w:r>
    </w:p>
    <w:p w14:paraId="126B1976" w14:textId="77777777" w:rsidR="00C773D7" w:rsidRPr="00C773D7" w:rsidRDefault="00C773D7" w:rsidP="005C4AF1">
      <w:pPr>
        <w:pStyle w:val="Heading3"/>
        <w:shd w:val="clear" w:color="auto" w:fill="FFFFFF"/>
        <w:spacing w:before="0" w:line="259" w:lineRule="auto"/>
        <w:jc w:val="both"/>
        <w:rPr>
          <w:rFonts w:ascii="Arial Narrow" w:hAnsi="Arial Narrow" w:cs="Calibri"/>
          <w:noProof w:val="0"/>
          <w:color w:val="333333"/>
          <w:sz w:val="22"/>
          <w:szCs w:val="22"/>
        </w:rPr>
      </w:pPr>
      <w:r w:rsidRPr="00C773D7">
        <w:rPr>
          <w:rFonts w:ascii="Arial Narrow" w:hAnsi="Arial Narrow" w:cs="Calibri"/>
          <w:b/>
          <w:bCs/>
          <w:color w:val="2A76A7"/>
          <w:sz w:val="22"/>
          <w:szCs w:val="22"/>
        </w:rPr>
        <w:t>§1.</w:t>
      </w:r>
      <w:r w:rsidRPr="00C773D7">
        <w:rPr>
          <w:rFonts w:ascii="Arial Narrow" w:hAnsi="Arial Narrow" w:cs="Calibri"/>
          <w:b/>
          <w:bCs/>
          <w:color w:val="48B7E6"/>
          <w:sz w:val="22"/>
          <w:szCs w:val="22"/>
        </w:rPr>
        <w:t> Vânzarea cu plata preţului în rate şi rezerva proprietăţii</w:t>
      </w:r>
    </w:p>
    <w:p w14:paraId="31BC74A6" w14:textId="77777777" w:rsidR="00C773D7" w:rsidRPr="00C773D7" w:rsidRDefault="00C773D7" w:rsidP="005C4AF1">
      <w:pPr>
        <w:pStyle w:val="ac"/>
        <w:shd w:val="clear" w:color="auto" w:fill="FFFFFF"/>
        <w:spacing w:before="0" w:beforeAutospacing="0" w:after="0" w:afterAutospacing="0" w:line="259" w:lineRule="auto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00C773D7">
        <w:rPr>
          <w:rFonts w:ascii="Arial Narrow" w:hAnsi="Arial Narrow" w:cs="Calibri"/>
          <w:color w:val="444444"/>
          <w:sz w:val="22"/>
          <w:szCs w:val="22"/>
        </w:rPr>
        <w:t xml:space="preserve">Rezerva </w:t>
      </w:r>
      <w:proofErr w:type="spellStart"/>
      <w:r w:rsidRPr="00C773D7">
        <w:rPr>
          <w:rFonts w:ascii="Arial Narrow" w:hAnsi="Arial Narrow" w:cs="Calibri"/>
          <w:color w:val="444444"/>
          <w:sz w:val="22"/>
          <w:szCs w:val="22"/>
        </w:rPr>
        <w:t>proprietăţii</w:t>
      </w:r>
      <w:proofErr w:type="spellEnd"/>
      <w:r w:rsidRPr="00C773D7">
        <w:rPr>
          <w:rFonts w:ascii="Arial Narrow" w:hAnsi="Arial Narrow" w:cs="Calibri"/>
          <w:color w:val="444444"/>
          <w:sz w:val="22"/>
          <w:szCs w:val="22"/>
        </w:rPr>
        <w:t xml:space="preserve"> </w:t>
      </w:r>
      <w:proofErr w:type="spellStart"/>
      <w:r w:rsidRPr="00C773D7">
        <w:rPr>
          <w:rFonts w:ascii="Arial Narrow" w:hAnsi="Arial Narrow" w:cs="Calibri"/>
          <w:color w:val="444444"/>
          <w:sz w:val="22"/>
          <w:szCs w:val="22"/>
        </w:rPr>
        <w:t>şi</w:t>
      </w:r>
      <w:proofErr w:type="spellEnd"/>
      <w:r w:rsidRPr="00C773D7">
        <w:rPr>
          <w:rFonts w:ascii="Arial Narrow" w:hAnsi="Arial Narrow" w:cs="Calibri"/>
          <w:color w:val="444444"/>
          <w:sz w:val="22"/>
          <w:szCs w:val="22"/>
        </w:rPr>
        <w:t xml:space="preserve"> riscurile</w:t>
      </w:r>
    </w:p>
    <w:p w14:paraId="25D3C14C" w14:textId="77777777" w:rsidR="00C773D7" w:rsidRPr="00C773D7" w:rsidRDefault="00C773D7" w:rsidP="005C4AF1">
      <w:pPr>
        <w:pStyle w:val="Heading4"/>
        <w:shd w:val="clear" w:color="auto" w:fill="FFFFFF"/>
        <w:spacing w:before="0" w:beforeAutospacing="0" w:after="0" w:afterAutospacing="0" w:line="259" w:lineRule="auto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00C773D7">
        <w:rPr>
          <w:rFonts w:ascii="Arial Narrow" w:hAnsi="Arial Narrow" w:cs="Calibri"/>
          <w:color w:val="2A76A7"/>
          <w:sz w:val="22"/>
          <w:szCs w:val="22"/>
        </w:rPr>
        <w:t>Art. 1.755. -</w:t>
      </w:r>
    </w:p>
    <w:p w14:paraId="47AB54E7" w14:textId="77777777" w:rsidR="00C773D7" w:rsidRPr="00C773D7" w:rsidRDefault="00C773D7" w:rsidP="005C4AF1">
      <w:pPr>
        <w:pStyle w:val="al"/>
        <w:shd w:val="clear" w:color="auto" w:fill="FFFFFF"/>
        <w:spacing w:before="0" w:beforeAutospacing="0" w:after="0" w:afterAutospacing="0" w:line="259" w:lineRule="auto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00C773D7">
        <w:rPr>
          <w:rFonts w:ascii="Arial Narrow" w:hAnsi="Arial Narrow" w:cs="Calibri"/>
          <w:color w:val="444444"/>
          <w:sz w:val="22"/>
          <w:szCs w:val="22"/>
        </w:rPr>
        <w:t xml:space="preserve">Atunci când, într-o vânzare cu plata </w:t>
      </w:r>
      <w:proofErr w:type="spellStart"/>
      <w:r w:rsidRPr="00C773D7">
        <w:rPr>
          <w:rFonts w:ascii="Arial Narrow" w:hAnsi="Arial Narrow" w:cs="Calibri"/>
          <w:color w:val="444444"/>
          <w:sz w:val="22"/>
          <w:szCs w:val="22"/>
        </w:rPr>
        <w:t>preţului</w:t>
      </w:r>
      <w:proofErr w:type="spellEnd"/>
      <w:r w:rsidRPr="00C773D7">
        <w:rPr>
          <w:rFonts w:ascii="Arial Narrow" w:hAnsi="Arial Narrow" w:cs="Calibri"/>
          <w:color w:val="444444"/>
          <w:sz w:val="22"/>
          <w:szCs w:val="22"/>
        </w:rPr>
        <w:t xml:space="preserve"> în rate, </w:t>
      </w:r>
      <w:proofErr w:type="spellStart"/>
      <w:r w:rsidRPr="00C773D7">
        <w:rPr>
          <w:rFonts w:ascii="Arial Narrow" w:hAnsi="Arial Narrow" w:cs="Calibri"/>
          <w:color w:val="444444"/>
          <w:sz w:val="22"/>
          <w:szCs w:val="22"/>
        </w:rPr>
        <w:t>obligaţia</w:t>
      </w:r>
      <w:proofErr w:type="spellEnd"/>
      <w:r w:rsidRPr="00C773D7">
        <w:rPr>
          <w:rFonts w:ascii="Arial Narrow" w:hAnsi="Arial Narrow" w:cs="Calibri"/>
          <w:color w:val="444444"/>
          <w:sz w:val="22"/>
          <w:szCs w:val="22"/>
        </w:rPr>
        <w:t xml:space="preserve"> de plată este garantată cu rezerva dreptului de proprietate, cumpărătorul </w:t>
      </w:r>
      <w:proofErr w:type="spellStart"/>
      <w:r w:rsidRPr="00C773D7">
        <w:rPr>
          <w:rFonts w:ascii="Arial Narrow" w:hAnsi="Arial Narrow" w:cs="Calibri"/>
          <w:color w:val="444444"/>
          <w:sz w:val="22"/>
          <w:szCs w:val="22"/>
        </w:rPr>
        <w:t>dobândeşte</w:t>
      </w:r>
      <w:proofErr w:type="spellEnd"/>
      <w:r w:rsidRPr="00C773D7">
        <w:rPr>
          <w:rFonts w:ascii="Arial Narrow" w:hAnsi="Arial Narrow" w:cs="Calibri"/>
          <w:color w:val="444444"/>
          <w:sz w:val="22"/>
          <w:szCs w:val="22"/>
        </w:rPr>
        <w:t xml:space="preserve"> dreptul de proprietate la data achitării ultimei rate din </w:t>
      </w:r>
      <w:proofErr w:type="spellStart"/>
      <w:r w:rsidRPr="00C773D7">
        <w:rPr>
          <w:rFonts w:ascii="Arial Narrow" w:hAnsi="Arial Narrow" w:cs="Calibri"/>
          <w:color w:val="444444"/>
          <w:sz w:val="22"/>
          <w:szCs w:val="22"/>
        </w:rPr>
        <w:t>preţ</w:t>
      </w:r>
      <w:proofErr w:type="spellEnd"/>
      <w:r w:rsidRPr="00C773D7">
        <w:rPr>
          <w:rFonts w:ascii="Arial Narrow" w:hAnsi="Arial Narrow" w:cs="Calibri"/>
          <w:color w:val="444444"/>
          <w:sz w:val="22"/>
          <w:szCs w:val="22"/>
        </w:rPr>
        <w:t>; riscul bunului este însă transferat cumpărătorului de la momentul predării acestuia.</w:t>
      </w:r>
    </w:p>
    <w:p w14:paraId="12E50906" w14:textId="77777777" w:rsidR="00C773D7" w:rsidRPr="00C773D7" w:rsidRDefault="00C773D7" w:rsidP="005C4AF1">
      <w:pPr>
        <w:pStyle w:val="ac"/>
        <w:shd w:val="clear" w:color="auto" w:fill="FFFFFF"/>
        <w:spacing w:before="0" w:beforeAutospacing="0" w:after="0" w:afterAutospacing="0" w:line="259" w:lineRule="auto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00C773D7">
        <w:rPr>
          <w:rFonts w:ascii="Arial Narrow" w:hAnsi="Arial Narrow" w:cs="Calibri"/>
          <w:color w:val="444444"/>
          <w:sz w:val="22"/>
          <w:szCs w:val="22"/>
        </w:rPr>
        <w:t xml:space="preserve">Neplata unei singure rate din </w:t>
      </w:r>
      <w:proofErr w:type="spellStart"/>
      <w:r w:rsidRPr="00C773D7">
        <w:rPr>
          <w:rFonts w:ascii="Arial Narrow" w:hAnsi="Arial Narrow" w:cs="Calibri"/>
          <w:color w:val="444444"/>
          <w:sz w:val="22"/>
          <w:szCs w:val="22"/>
        </w:rPr>
        <w:t>preţ</w:t>
      </w:r>
      <w:proofErr w:type="spellEnd"/>
    </w:p>
    <w:p w14:paraId="7797DC41" w14:textId="77777777" w:rsidR="00C773D7" w:rsidRPr="00C773D7" w:rsidRDefault="00C773D7" w:rsidP="005C4AF1">
      <w:pPr>
        <w:pStyle w:val="Heading4"/>
        <w:shd w:val="clear" w:color="auto" w:fill="FFFFFF"/>
        <w:spacing w:before="0" w:beforeAutospacing="0" w:after="0" w:afterAutospacing="0" w:line="259" w:lineRule="auto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00C773D7">
        <w:rPr>
          <w:rFonts w:ascii="Arial Narrow" w:hAnsi="Arial Narrow" w:cs="Calibri"/>
          <w:color w:val="2A76A7"/>
          <w:sz w:val="22"/>
          <w:szCs w:val="22"/>
        </w:rPr>
        <w:t>Art. 1.756. -</w:t>
      </w:r>
    </w:p>
    <w:p w14:paraId="17E9A8D8" w14:textId="77777777" w:rsidR="00C773D7" w:rsidRPr="00C773D7" w:rsidRDefault="00C773D7" w:rsidP="005C4AF1">
      <w:pPr>
        <w:pStyle w:val="al"/>
        <w:shd w:val="clear" w:color="auto" w:fill="FFFFFF"/>
        <w:spacing w:before="0" w:beforeAutospacing="0" w:after="0" w:afterAutospacing="0" w:line="259" w:lineRule="auto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00C773D7">
        <w:rPr>
          <w:rFonts w:ascii="Arial Narrow" w:hAnsi="Arial Narrow" w:cs="Calibri"/>
          <w:color w:val="444444"/>
          <w:sz w:val="22"/>
          <w:szCs w:val="22"/>
        </w:rPr>
        <w:t xml:space="preserve">În lipsa unei </w:t>
      </w:r>
      <w:proofErr w:type="spellStart"/>
      <w:r w:rsidRPr="00C773D7">
        <w:rPr>
          <w:rFonts w:ascii="Arial Narrow" w:hAnsi="Arial Narrow" w:cs="Calibri"/>
          <w:color w:val="444444"/>
          <w:sz w:val="22"/>
          <w:szCs w:val="22"/>
        </w:rPr>
        <w:t>înţelegeri</w:t>
      </w:r>
      <w:proofErr w:type="spellEnd"/>
      <w:r w:rsidRPr="00C773D7">
        <w:rPr>
          <w:rFonts w:ascii="Arial Narrow" w:hAnsi="Arial Narrow" w:cs="Calibri"/>
          <w:color w:val="444444"/>
          <w:sz w:val="22"/>
          <w:szCs w:val="22"/>
        </w:rPr>
        <w:t xml:space="preserve"> contrare, neplata unei singure rate, care nu este mai mare de o optime din </w:t>
      </w:r>
      <w:proofErr w:type="spellStart"/>
      <w:r w:rsidRPr="00C773D7">
        <w:rPr>
          <w:rFonts w:ascii="Arial Narrow" w:hAnsi="Arial Narrow" w:cs="Calibri"/>
          <w:color w:val="444444"/>
          <w:sz w:val="22"/>
          <w:szCs w:val="22"/>
        </w:rPr>
        <w:t>preţ</w:t>
      </w:r>
      <w:proofErr w:type="spellEnd"/>
      <w:r w:rsidRPr="00C773D7">
        <w:rPr>
          <w:rFonts w:ascii="Arial Narrow" w:hAnsi="Arial Narrow" w:cs="Calibri"/>
          <w:color w:val="444444"/>
          <w:sz w:val="22"/>
          <w:szCs w:val="22"/>
        </w:rPr>
        <w:t xml:space="preserve">, nu dă dreptul la </w:t>
      </w:r>
      <w:proofErr w:type="spellStart"/>
      <w:r w:rsidRPr="00C773D7">
        <w:rPr>
          <w:rFonts w:ascii="Arial Narrow" w:hAnsi="Arial Narrow" w:cs="Calibri"/>
          <w:color w:val="444444"/>
          <w:sz w:val="22"/>
          <w:szCs w:val="22"/>
        </w:rPr>
        <w:t>rezoluţiunea</w:t>
      </w:r>
      <w:proofErr w:type="spellEnd"/>
      <w:r w:rsidRPr="00C773D7">
        <w:rPr>
          <w:rFonts w:ascii="Arial Narrow" w:hAnsi="Arial Narrow" w:cs="Calibri"/>
          <w:color w:val="444444"/>
          <w:sz w:val="22"/>
          <w:szCs w:val="22"/>
        </w:rPr>
        <w:t xml:space="preserve"> contractului, iar cumpărătorul păstrează beneficiul termenului pentru ratele succesive.</w:t>
      </w:r>
    </w:p>
    <w:p w14:paraId="79FF2A6D" w14:textId="77777777" w:rsidR="00C773D7" w:rsidRPr="00C773D7" w:rsidRDefault="00C773D7" w:rsidP="005C4AF1">
      <w:pPr>
        <w:pStyle w:val="ac"/>
        <w:shd w:val="clear" w:color="auto" w:fill="FFFFFF"/>
        <w:spacing w:before="0" w:beforeAutospacing="0" w:after="0" w:afterAutospacing="0" w:line="259" w:lineRule="auto"/>
        <w:jc w:val="both"/>
        <w:rPr>
          <w:rFonts w:ascii="Arial Narrow" w:hAnsi="Arial Narrow" w:cs="Calibri"/>
          <w:color w:val="333333"/>
          <w:sz w:val="22"/>
          <w:szCs w:val="22"/>
        </w:rPr>
      </w:pPr>
      <w:proofErr w:type="spellStart"/>
      <w:r w:rsidRPr="00C773D7">
        <w:rPr>
          <w:rFonts w:ascii="Arial Narrow" w:hAnsi="Arial Narrow" w:cs="Calibri"/>
          <w:color w:val="444444"/>
          <w:sz w:val="22"/>
          <w:szCs w:val="22"/>
        </w:rPr>
        <w:t>Rezoluţiunea</w:t>
      </w:r>
      <w:proofErr w:type="spellEnd"/>
      <w:r w:rsidRPr="00C773D7">
        <w:rPr>
          <w:rFonts w:ascii="Arial Narrow" w:hAnsi="Arial Narrow" w:cs="Calibri"/>
          <w:color w:val="444444"/>
          <w:sz w:val="22"/>
          <w:szCs w:val="22"/>
        </w:rPr>
        <w:t xml:space="preserve"> contractului</w:t>
      </w:r>
    </w:p>
    <w:p w14:paraId="4D0B8E22" w14:textId="77777777" w:rsidR="00C773D7" w:rsidRPr="00C773D7" w:rsidRDefault="00C773D7" w:rsidP="005C4AF1">
      <w:pPr>
        <w:pStyle w:val="Heading4"/>
        <w:shd w:val="clear" w:color="auto" w:fill="FFFFFF"/>
        <w:spacing w:before="0" w:beforeAutospacing="0" w:after="0" w:afterAutospacing="0" w:line="259" w:lineRule="auto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00C773D7">
        <w:rPr>
          <w:rFonts w:ascii="Arial Narrow" w:hAnsi="Arial Narrow" w:cs="Calibri"/>
          <w:color w:val="2A76A7"/>
          <w:sz w:val="22"/>
          <w:szCs w:val="22"/>
        </w:rPr>
        <w:t>Art. 1.757. -</w:t>
      </w:r>
    </w:p>
    <w:p w14:paraId="4F5895FA" w14:textId="77777777" w:rsidR="00C773D7" w:rsidRPr="00C773D7" w:rsidRDefault="00C773D7" w:rsidP="005C4AF1">
      <w:pPr>
        <w:pStyle w:val="al"/>
        <w:shd w:val="clear" w:color="auto" w:fill="FFFFFF"/>
        <w:spacing w:before="0" w:beforeAutospacing="0" w:after="0" w:afterAutospacing="0" w:line="259" w:lineRule="auto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00C773D7">
        <w:rPr>
          <w:rFonts w:ascii="Arial Narrow" w:hAnsi="Arial Narrow" w:cs="Calibri"/>
          <w:b/>
          <w:bCs/>
          <w:color w:val="222222"/>
          <w:sz w:val="22"/>
          <w:szCs w:val="22"/>
        </w:rPr>
        <w:t>(1)</w:t>
      </w:r>
      <w:r w:rsidRPr="00C773D7">
        <w:rPr>
          <w:rFonts w:ascii="Arial Narrow" w:hAnsi="Arial Narrow" w:cs="Calibri"/>
          <w:color w:val="444444"/>
          <w:sz w:val="22"/>
          <w:szCs w:val="22"/>
        </w:rPr>
        <w:t xml:space="preserve"> Când a </w:t>
      </w:r>
      <w:proofErr w:type="spellStart"/>
      <w:r w:rsidRPr="00C773D7">
        <w:rPr>
          <w:rFonts w:ascii="Arial Narrow" w:hAnsi="Arial Narrow" w:cs="Calibri"/>
          <w:color w:val="444444"/>
          <w:sz w:val="22"/>
          <w:szCs w:val="22"/>
        </w:rPr>
        <w:t>obţinut</w:t>
      </w:r>
      <w:proofErr w:type="spellEnd"/>
      <w:r w:rsidRPr="00C773D7">
        <w:rPr>
          <w:rFonts w:ascii="Arial Narrow" w:hAnsi="Arial Narrow" w:cs="Calibri"/>
          <w:color w:val="444444"/>
          <w:sz w:val="22"/>
          <w:szCs w:val="22"/>
        </w:rPr>
        <w:t xml:space="preserve"> </w:t>
      </w:r>
      <w:proofErr w:type="spellStart"/>
      <w:r w:rsidRPr="00C773D7">
        <w:rPr>
          <w:rFonts w:ascii="Arial Narrow" w:hAnsi="Arial Narrow" w:cs="Calibri"/>
          <w:color w:val="444444"/>
          <w:sz w:val="22"/>
          <w:szCs w:val="22"/>
        </w:rPr>
        <w:t>rezoluţiunea</w:t>
      </w:r>
      <w:proofErr w:type="spellEnd"/>
      <w:r w:rsidRPr="00C773D7">
        <w:rPr>
          <w:rFonts w:ascii="Arial Narrow" w:hAnsi="Arial Narrow" w:cs="Calibri"/>
          <w:color w:val="444444"/>
          <w:sz w:val="22"/>
          <w:szCs w:val="22"/>
        </w:rPr>
        <w:t xml:space="preserve"> contractului pentru neplata </w:t>
      </w:r>
      <w:proofErr w:type="spellStart"/>
      <w:r w:rsidRPr="00C773D7">
        <w:rPr>
          <w:rFonts w:ascii="Arial Narrow" w:hAnsi="Arial Narrow" w:cs="Calibri"/>
          <w:color w:val="444444"/>
          <w:sz w:val="22"/>
          <w:szCs w:val="22"/>
        </w:rPr>
        <w:t>preţului</w:t>
      </w:r>
      <w:proofErr w:type="spellEnd"/>
      <w:r w:rsidRPr="00C773D7">
        <w:rPr>
          <w:rFonts w:ascii="Arial Narrow" w:hAnsi="Arial Narrow" w:cs="Calibri"/>
          <w:color w:val="444444"/>
          <w:sz w:val="22"/>
          <w:szCs w:val="22"/>
        </w:rPr>
        <w:t xml:space="preserve">, vânzătorul este </w:t>
      </w:r>
      <w:proofErr w:type="spellStart"/>
      <w:r w:rsidRPr="00C773D7">
        <w:rPr>
          <w:rFonts w:ascii="Arial Narrow" w:hAnsi="Arial Narrow" w:cs="Calibri"/>
          <w:color w:val="444444"/>
          <w:sz w:val="22"/>
          <w:szCs w:val="22"/>
        </w:rPr>
        <w:t>ţinut</w:t>
      </w:r>
      <w:proofErr w:type="spellEnd"/>
      <w:r w:rsidRPr="00C773D7">
        <w:rPr>
          <w:rFonts w:ascii="Arial Narrow" w:hAnsi="Arial Narrow" w:cs="Calibri"/>
          <w:color w:val="444444"/>
          <w:sz w:val="22"/>
          <w:szCs w:val="22"/>
        </w:rPr>
        <w:t xml:space="preserve"> să restituie toate sumele primite, dar este </w:t>
      </w:r>
      <w:proofErr w:type="spellStart"/>
      <w:r w:rsidRPr="00C773D7">
        <w:rPr>
          <w:rFonts w:ascii="Arial Narrow" w:hAnsi="Arial Narrow" w:cs="Calibri"/>
          <w:color w:val="444444"/>
          <w:sz w:val="22"/>
          <w:szCs w:val="22"/>
        </w:rPr>
        <w:t>îndreptăţit</w:t>
      </w:r>
      <w:proofErr w:type="spellEnd"/>
      <w:r w:rsidRPr="00C773D7">
        <w:rPr>
          <w:rFonts w:ascii="Arial Narrow" w:hAnsi="Arial Narrow" w:cs="Calibri"/>
          <w:color w:val="444444"/>
          <w:sz w:val="22"/>
          <w:szCs w:val="22"/>
        </w:rPr>
        <w:t xml:space="preserve"> să </w:t>
      </w:r>
      <w:proofErr w:type="spellStart"/>
      <w:r w:rsidRPr="00C773D7">
        <w:rPr>
          <w:rFonts w:ascii="Arial Narrow" w:hAnsi="Arial Narrow" w:cs="Calibri"/>
          <w:color w:val="444444"/>
          <w:sz w:val="22"/>
          <w:szCs w:val="22"/>
        </w:rPr>
        <w:t>reţină</w:t>
      </w:r>
      <w:proofErr w:type="spellEnd"/>
      <w:r w:rsidRPr="00C773D7">
        <w:rPr>
          <w:rFonts w:ascii="Arial Narrow" w:hAnsi="Arial Narrow" w:cs="Calibri"/>
          <w:color w:val="444444"/>
          <w:sz w:val="22"/>
          <w:szCs w:val="22"/>
        </w:rPr>
        <w:t xml:space="preserve">, pe lângă alte daune-interese, o </w:t>
      </w:r>
      <w:proofErr w:type="spellStart"/>
      <w:r w:rsidRPr="00C773D7">
        <w:rPr>
          <w:rFonts w:ascii="Arial Narrow" w:hAnsi="Arial Narrow" w:cs="Calibri"/>
          <w:color w:val="444444"/>
          <w:sz w:val="22"/>
          <w:szCs w:val="22"/>
        </w:rPr>
        <w:t>compensaţie</w:t>
      </w:r>
      <w:proofErr w:type="spellEnd"/>
      <w:r w:rsidRPr="00C773D7">
        <w:rPr>
          <w:rFonts w:ascii="Arial Narrow" w:hAnsi="Arial Narrow" w:cs="Calibri"/>
          <w:color w:val="444444"/>
          <w:sz w:val="22"/>
          <w:szCs w:val="22"/>
        </w:rPr>
        <w:t xml:space="preserve"> echitabilă pentru folosirea bunului de către cumpărător.</w:t>
      </w:r>
    </w:p>
    <w:p w14:paraId="147E79AE" w14:textId="77777777" w:rsidR="00C773D7" w:rsidRPr="00C773D7" w:rsidRDefault="00C773D7" w:rsidP="005C4AF1">
      <w:pPr>
        <w:pStyle w:val="al"/>
        <w:shd w:val="clear" w:color="auto" w:fill="FFFFFF"/>
        <w:spacing w:before="0" w:beforeAutospacing="0" w:after="0" w:afterAutospacing="0" w:line="259" w:lineRule="auto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00C773D7">
        <w:rPr>
          <w:rFonts w:ascii="Arial Narrow" w:hAnsi="Arial Narrow" w:cs="Calibri"/>
          <w:b/>
          <w:bCs/>
          <w:color w:val="222222"/>
          <w:sz w:val="22"/>
          <w:szCs w:val="22"/>
        </w:rPr>
        <w:t>(2)</w:t>
      </w:r>
      <w:r w:rsidRPr="00C773D7">
        <w:rPr>
          <w:rFonts w:ascii="Arial Narrow" w:hAnsi="Arial Narrow" w:cs="Calibri"/>
          <w:color w:val="444444"/>
          <w:sz w:val="22"/>
          <w:szCs w:val="22"/>
        </w:rPr>
        <w:t xml:space="preserve"> Atunci când s-a convenit ca sumele încasate cu titlu de rate să rămână, în tot sau în parte, dobândite de vânzător, </w:t>
      </w:r>
      <w:proofErr w:type="spellStart"/>
      <w:r w:rsidRPr="00C773D7">
        <w:rPr>
          <w:rFonts w:ascii="Arial Narrow" w:hAnsi="Arial Narrow" w:cs="Calibri"/>
          <w:color w:val="444444"/>
          <w:sz w:val="22"/>
          <w:szCs w:val="22"/>
        </w:rPr>
        <w:t>instanţa</w:t>
      </w:r>
      <w:proofErr w:type="spellEnd"/>
      <w:r w:rsidRPr="00C773D7">
        <w:rPr>
          <w:rFonts w:ascii="Arial Narrow" w:hAnsi="Arial Narrow" w:cs="Calibri"/>
          <w:color w:val="444444"/>
          <w:sz w:val="22"/>
          <w:szCs w:val="22"/>
        </w:rPr>
        <w:t xml:space="preserve"> va putea </w:t>
      </w:r>
      <w:proofErr w:type="spellStart"/>
      <w:r w:rsidRPr="00C773D7">
        <w:rPr>
          <w:rFonts w:ascii="Arial Narrow" w:hAnsi="Arial Narrow" w:cs="Calibri"/>
          <w:color w:val="444444"/>
          <w:sz w:val="22"/>
          <w:szCs w:val="22"/>
        </w:rPr>
        <w:t>totuşi</w:t>
      </w:r>
      <w:proofErr w:type="spellEnd"/>
      <w:r w:rsidRPr="00C773D7">
        <w:rPr>
          <w:rFonts w:ascii="Arial Narrow" w:hAnsi="Arial Narrow" w:cs="Calibri"/>
          <w:color w:val="444444"/>
          <w:sz w:val="22"/>
          <w:szCs w:val="22"/>
        </w:rPr>
        <w:t xml:space="preserve"> reduce aceste sume, aplicându-se în mod corespunzător </w:t>
      </w:r>
      <w:proofErr w:type="spellStart"/>
      <w:r w:rsidRPr="00C773D7">
        <w:rPr>
          <w:rFonts w:ascii="Arial Narrow" w:hAnsi="Arial Narrow" w:cs="Calibri"/>
          <w:color w:val="444444"/>
          <w:sz w:val="22"/>
          <w:szCs w:val="22"/>
        </w:rPr>
        <w:t>dispoziţiile</w:t>
      </w:r>
      <w:proofErr w:type="spellEnd"/>
      <w:r w:rsidRPr="00C773D7">
        <w:rPr>
          <w:rFonts w:ascii="Arial Narrow" w:hAnsi="Arial Narrow" w:cs="Calibri"/>
          <w:color w:val="444444"/>
          <w:sz w:val="22"/>
          <w:szCs w:val="22"/>
        </w:rPr>
        <w:t xml:space="preserve"> referitoare la reducerea de către </w:t>
      </w:r>
      <w:proofErr w:type="spellStart"/>
      <w:r w:rsidRPr="00C773D7">
        <w:rPr>
          <w:rFonts w:ascii="Arial Narrow" w:hAnsi="Arial Narrow" w:cs="Calibri"/>
          <w:color w:val="444444"/>
          <w:sz w:val="22"/>
          <w:szCs w:val="22"/>
        </w:rPr>
        <w:t>instanţă</w:t>
      </w:r>
      <w:proofErr w:type="spellEnd"/>
      <w:r w:rsidRPr="00C773D7">
        <w:rPr>
          <w:rFonts w:ascii="Arial Narrow" w:hAnsi="Arial Narrow" w:cs="Calibri"/>
          <w:color w:val="444444"/>
          <w:sz w:val="22"/>
          <w:szCs w:val="22"/>
        </w:rPr>
        <w:t xml:space="preserve"> a cuantumului clauzei penale.</w:t>
      </w:r>
    </w:p>
    <w:p w14:paraId="530EC43A" w14:textId="77777777" w:rsidR="00C773D7" w:rsidRPr="00C773D7" w:rsidRDefault="00C773D7" w:rsidP="005C4AF1">
      <w:pPr>
        <w:pStyle w:val="al"/>
        <w:pBdr>
          <w:bottom w:val="single" w:sz="12" w:space="1" w:color="auto"/>
        </w:pBdr>
        <w:shd w:val="clear" w:color="auto" w:fill="FFFFFF"/>
        <w:spacing w:before="0" w:beforeAutospacing="0" w:after="0" w:afterAutospacing="0" w:line="259" w:lineRule="auto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00C773D7">
        <w:rPr>
          <w:rFonts w:ascii="Arial Narrow" w:hAnsi="Arial Narrow" w:cs="Calibri"/>
          <w:b/>
          <w:bCs/>
          <w:color w:val="222222"/>
          <w:sz w:val="22"/>
          <w:szCs w:val="22"/>
        </w:rPr>
        <w:t>(3)</w:t>
      </w:r>
      <w:r w:rsidRPr="00C773D7">
        <w:rPr>
          <w:rFonts w:ascii="Arial Narrow" w:hAnsi="Arial Narrow" w:cs="Calibri"/>
          <w:color w:val="444444"/>
          <w:sz w:val="22"/>
          <w:szCs w:val="22"/>
        </w:rPr>
        <w:t> Prevederile </w:t>
      </w:r>
      <w:hyperlink r:id="rId5" w:anchor="p-56653904" w:tgtFrame="_blank" w:history="1">
        <w:r w:rsidRPr="00C773D7">
          <w:rPr>
            <w:rStyle w:val="Hyperlink"/>
            <w:rFonts w:ascii="Arial Narrow" w:hAnsi="Arial Narrow" w:cs="Calibri"/>
            <w:color w:val="1A86B6"/>
            <w:sz w:val="22"/>
            <w:szCs w:val="22"/>
          </w:rPr>
          <w:t>alin. (2)</w:t>
        </w:r>
      </w:hyperlink>
      <w:r w:rsidRPr="00C773D7">
        <w:rPr>
          <w:rFonts w:ascii="Arial Narrow" w:hAnsi="Arial Narrow" w:cs="Calibri"/>
          <w:color w:val="444444"/>
          <w:sz w:val="22"/>
          <w:szCs w:val="22"/>
        </w:rPr>
        <w:t xml:space="preserve"> se aplică </w:t>
      </w:r>
      <w:proofErr w:type="spellStart"/>
      <w:r w:rsidRPr="00C773D7">
        <w:rPr>
          <w:rFonts w:ascii="Arial Narrow" w:hAnsi="Arial Narrow" w:cs="Calibri"/>
          <w:color w:val="444444"/>
          <w:sz w:val="22"/>
          <w:szCs w:val="22"/>
        </w:rPr>
        <w:t>şi</w:t>
      </w:r>
      <w:proofErr w:type="spellEnd"/>
      <w:r w:rsidRPr="00C773D7">
        <w:rPr>
          <w:rFonts w:ascii="Arial Narrow" w:hAnsi="Arial Narrow" w:cs="Calibri"/>
          <w:color w:val="444444"/>
          <w:sz w:val="22"/>
          <w:szCs w:val="22"/>
        </w:rPr>
        <w:t xml:space="preserve"> în cazul contractului de leasing, precum </w:t>
      </w:r>
      <w:proofErr w:type="spellStart"/>
      <w:r w:rsidRPr="00C773D7">
        <w:rPr>
          <w:rFonts w:ascii="Arial Narrow" w:hAnsi="Arial Narrow" w:cs="Calibri"/>
          <w:color w:val="444444"/>
          <w:sz w:val="22"/>
          <w:szCs w:val="22"/>
        </w:rPr>
        <w:t>şi</w:t>
      </w:r>
      <w:proofErr w:type="spellEnd"/>
      <w:r w:rsidRPr="00C773D7">
        <w:rPr>
          <w:rFonts w:ascii="Arial Narrow" w:hAnsi="Arial Narrow" w:cs="Calibri"/>
          <w:color w:val="444444"/>
          <w:sz w:val="22"/>
          <w:szCs w:val="22"/>
        </w:rPr>
        <w:t xml:space="preserve"> al celui de </w:t>
      </w:r>
      <w:proofErr w:type="spellStart"/>
      <w:r w:rsidRPr="00C773D7">
        <w:rPr>
          <w:rFonts w:ascii="Arial Narrow" w:hAnsi="Arial Narrow" w:cs="Calibri"/>
          <w:color w:val="444444"/>
          <w:sz w:val="22"/>
          <w:szCs w:val="22"/>
        </w:rPr>
        <w:t>locaţiune</w:t>
      </w:r>
      <w:proofErr w:type="spellEnd"/>
      <w:r w:rsidRPr="00C773D7">
        <w:rPr>
          <w:rFonts w:ascii="Arial Narrow" w:hAnsi="Arial Narrow" w:cs="Calibri"/>
          <w:color w:val="444444"/>
          <w:sz w:val="22"/>
          <w:szCs w:val="22"/>
        </w:rPr>
        <w:t>, dacă, în acest ultim caz, se convine ca la încetarea contractului proprietatea bunului să poată fi dobândită de locatar după plata sumelor convenite.</w:t>
      </w:r>
    </w:p>
    <w:sectPr w:rsidR="00C773D7" w:rsidRPr="00C773D7" w:rsidSect="00BD0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54A3"/>
    <w:multiLevelType w:val="hybridMultilevel"/>
    <w:tmpl w:val="627E11D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FA02B2"/>
    <w:multiLevelType w:val="hybridMultilevel"/>
    <w:tmpl w:val="47DAF3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298973">
    <w:abstractNumId w:val="1"/>
  </w:num>
  <w:num w:numId="2" w16cid:durableId="1725979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6D"/>
    <w:rsid w:val="00074E11"/>
    <w:rsid w:val="00131D20"/>
    <w:rsid w:val="0053752F"/>
    <w:rsid w:val="005A37D5"/>
    <w:rsid w:val="005C4AF1"/>
    <w:rsid w:val="00627A07"/>
    <w:rsid w:val="006E0656"/>
    <w:rsid w:val="007D2F25"/>
    <w:rsid w:val="00936A98"/>
    <w:rsid w:val="00B92499"/>
    <w:rsid w:val="00BD062C"/>
    <w:rsid w:val="00C773D7"/>
    <w:rsid w:val="00DB096D"/>
    <w:rsid w:val="00DC5C79"/>
    <w:rsid w:val="00E408A8"/>
    <w:rsid w:val="00FB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F95F1"/>
  <w15:chartTrackingRefBased/>
  <w15:docId w15:val="{CA9BEE07-008B-4CBB-9413-9D2E7DF5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  <w:rPr>
      <w:noProof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73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C773D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noProof w:val="0"/>
      <w:kern w:val="0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73D7"/>
    <w:rPr>
      <w:rFonts w:ascii="Times New Roman" w:eastAsia="Times New Roman" w:hAnsi="Times New Roman" w:cs="Times New Roman"/>
      <w:b/>
      <w:bCs/>
      <w:kern w:val="0"/>
      <w:sz w:val="24"/>
      <w:szCs w:val="24"/>
      <w:lang w:eastAsia="ro-RO"/>
    </w:rPr>
  </w:style>
  <w:style w:type="paragraph" w:customStyle="1" w:styleId="ac">
    <w:name w:val="a_c"/>
    <w:basedOn w:val="Normal"/>
    <w:rsid w:val="00C773D7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kern w:val="0"/>
      <w:sz w:val="24"/>
      <w:szCs w:val="24"/>
      <w:lang w:eastAsia="ro-RO"/>
    </w:rPr>
  </w:style>
  <w:style w:type="paragraph" w:customStyle="1" w:styleId="al">
    <w:name w:val="a_l"/>
    <w:basedOn w:val="Normal"/>
    <w:rsid w:val="00C773D7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kern w:val="0"/>
      <w:sz w:val="24"/>
      <w:szCs w:val="24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73D7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773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ge5.ro/App/Document/gi2tsmbqhe/codul-civil-din-2009?pid=56653904&amp;d=2024-01-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Dinita</dc:creator>
  <cp:keywords/>
  <dc:description/>
  <cp:lastModifiedBy>RAZVAN ZORILA</cp:lastModifiedBy>
  <cp:revision>2</cp:revision>
  <dcterms:created xsi:type="dcterms:W3CDTF">2024-02-01T12:42:00Z</dcterms:created>
  <dcterms:modified xsi:type="dcterms:W3CDTF">2024-02-01T12:42:00Z</dcterms:modified>
</cp:coreProperties>
</file>