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Contract</w:t>
              <w:br/>
              <w:t>de partaj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 (după caz: titlu de proprietate, contract de vânzare, certificat de moștenitor, contract de donație, sentință/decizie civilă definitivă și irevocabilă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Documentația cadastrală a bunului imobil (planul de amplasament și delimitare, încheierea de intabulare în cartea funciară emisă de Judecătoria sau ANCPI competentă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Adeverința eliberată de asociația de proprietari, pentru apartamente, din care să rezulte că proprietarul este la zi cu obligațiile față de asociație;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fiscală, fără debite;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Extrasul de Carte Funciară pentru autentificare, emis de ANCPI competentă;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Datele părților și situații particulare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eo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DATELE ȘI ACTELE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căsătorie și/sau sentința de divorț, dacă este cazul;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identitate ale părților (buletine sau cărți de identitate);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peci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SITUAȚII PARTICULARE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Dacă partajul se realizează cu sultă: valoarea sultei, data plății și conturile bancare din care, respectiv în care, se va efectua plata;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Dacă bunul care urmează să fie partajat este ipotecat: acordul creditorului ipotecar.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