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3816000" cy="52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aequitas_rosu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52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"/>
        <w:gridCol w:w="9411"/>
      </w:tblGrid>
      <w:tr>
        <w:tc>
          <w:tcPr>
            <w:tcW w:type="dxa" w:w="5128"/>
            <w:shd w:fill="D92B20"/>
            <w:tcBorders>
              <w:top w:val="single" w:sz="0" w:color="D92B20"/>
              <w:left w:val="single" w:sz="0" w:color="D92B20"/>
              <w:bottom w:val="single" w:sz="0" w:color="D92B20"/>
              <w:right w:val="single" w:sz="0" w:color="D92B20"/>
              <w:insideH w:val="single" w:sz="0" w:color="D92B20"/>
              <w:insideV w:val="single" w:sz="0" w:color="D92B20"/>
            </w:tcBorders>
          </w:tcPr>
          <w:p/>
        </w:tc>
        <w:tc>
          <w:tcPr>
            <w:tcW w:type="dxa" w:w="5128"/>
            <w:shd w:fill="F7F5F4"/>
            <w:tcBorders>
              <w:top w:val="single" w:sz="0" w:color="F7F5F4"/>
              <w:left w:val="single" w:sz="0" w:color="F7F5F4"/>
              <w:bottom w:val="single" w:sz="0" w:color="F7F5F4"/>
              <w:right w:val="single" w:sz="0" w:color="F7F5F4"/>
              <w:insideH w:val="single" w:sz="0" w:color="F7F5F4"/>
              <w:insideV w:val="single" w:sz="0" w:color="F7F5F4"/>
            </w:tcBorders>
            <w:tcMar>
              <w:top w:w="650" w:type="dxa"/>
              <w:start w:w="700" w:type="dxa"/>
              <w:bottom w:w="650" w:type="dxa"/>
              <w:end w:w="700" w:type="dxa"/>
            </w:tcMar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GHID PENTRU CLIENȚI</w:t>
            </w:r>
          </w:p>
          <w:p>
            <w:pPr>
              <w:spacing w:after="360"/>
            </w:pPr>
            <w:r>
              <w:rPr>
                <w:rFonts w:ascii="Georgia" w:hAnsi="Georgia"/>
                <w:b/>
                <w:i w:val="0"/>
                <w:color w:val="303030"/>
                <w:sz w:val="58"/>
              </w:rPr>
              <w:t>ACTE NECESARE</w:t>
            </w:r>
          </w:p>
          <w:p>
            <w:pPr>
              <w:spacing w:after="300"/>
            </w:pPr>
            <w:r>
              <w:rPr>
                <w:rFonts w:ascii="Georgia" w:hAnsi="Georgia"/>
                <w:b w:val="0"/>
                <w:i w:val="0"/>
                <w:color w:val="D92B20"/>
                <w:sz w:val="44"/>
              </w:rPr>
              <w:t>Procedură</w:t>
              <w:br/>
              <w:t>succesorală</w:t>
            </w:r>
          </w:p>
          <w:p>
            <w:pPr>
              <w:spacing w:before="240"/>
            </w:pPr>
            <w:r>
              <w:rPr>
                <w:rFonts w:ascii="Aptos" w:hAnsi="Aptos"/>
                <w:b w:val="0"/>
                <w:i/>
                <w:color w:val="6C6C6C"/>
                <w:sz w:val="22"/>
              </w:rPr>
              <w:t>O listă clară pentru pregătirea dosarului notarial</w:t>
            </w:r>
          </w:p>
        </w:tc>
      </w:tr>
    </w:tbl>
    <w:p>
      <w:pPr>
        <w:spacing w:before="760"/>
        <w:jc w:val="right"/>
      </w:pPr>
      <w:r>
        <w:rPr>
          <w:rFonts w:ascii="Aptos" w:hAnsi="Aptos"/>
          <w:b/>
          <w:i w:val="0"/>
          <w:color w:val="6C6C6C"/>
          <w:sz w:val="17"/>
        </w:rPr>
        <w:t>EXPERIENȚĂ. PROFESIONALISM. RESPECT.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Actele de stare civilă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peopl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DEFUNCT ȘI MOȘTENITORI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deces al defunctului, în original și copie;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Dacă defunctul era văduv, certificatul de deces al soțului sau soției predecedate;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Dacă succesiunea soțului sau soției predecedate a fost dezbătută, certificatul de moștenitor emis pentru aceasta;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căsătorie al defunctului, în original și copie;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Certificatele de naștere ale moștenitorilor, în original și copie;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Certificatele de căsătorie ale moștenitorilor care și-au schimbat numele prin căsătorie, în original și copie;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Bunurile succesorale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ACTE DE PROPRIETATE ȘI ALTE BUNURI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proprietate, în original și copie, documentația cadastrală și încheierile de intabulare;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08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 de acționar sau adeverință eliberată de Depozitarul Central, dacă este cazul;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09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Talonul și cartea de identitate pentru autoturisme;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10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Actul de concesiune și adeverința de valoare;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Contractele de vânzare-cumpărare, titlurile de proprietate și procesele-verbale de recepție finală;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Adeverința de valoare pentru locurile de veci, emisă de Administrația Cimitirelor, în original și copie, valabilă pentru anul în curs;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Documente fiscale și declarații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compan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 FISCALE ȘI IDENTIFICARE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atestare fiscală pentru bunurile mobile și imobile;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fiscal emis de Administrația Financiară ANAF;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Buletinele sau cărțile de identitate ale moștenitorilor, în original și copie;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speci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ALTE DOCUMENTE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Doi martori, fiecare cu actul de identitate;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Declarațiile de renunțare sau de acceptare și testamentul, dacă există;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18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Extrasele de cont bancar.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120" w:type="dxa"/>
              <w:start w:w="210" w:type="dxa"/>
              <w:bottom w:w="120" w:type="dxa"/>
              <w:end w:w="21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